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BC02" w14:textId="09E9C4EF" w:rsidR="00102B58" w:rsidRPr="00B33CD7" w:rsidRDefault="00B33CD7">
      <w:pPr>
        <w:rPr>
          <w:b/>
          <w:bCs/>
          <w:sz w:val="28"/>
          <w:szCs w:val="28"/>
        </w:rPr>
      </w:pPr>
      <w:r w:rsidRPr="00B33CD7">
        <w:rPr>
          <w:rFonts w:cstheme="minorHAnsi"/>
          <w:b/>
          <w:bCs/>
          <w:noProof/>
          <w:sz w:val="24"/>
          <w:szCs w:val="24"/>
        </w:rPr>
        <w:drawing>
          <wp:anchor distT="0" distB="0" distL="114300" distR="114300" simplePos="0" relativeHeight="251659264" behindDoc="0" locked="0" layoutInCell="1" allowOverlap="1" wp14:anchorId="51359C46" wp14:editId="4D14FBD8">
            <wp:simplePos x="0" y="0"/>
            <wp:positionH relativeFrom="margin">
              <wp:align>left</wp:align>
            </wp:positionH>
            <wp:positionV relativeFrom="margin">
              <wp:align>top</wp:align>
            </wp:positionV>
            <wp:extent cx="2820035" cy="536575"/>
            <wp:effectExtent l="0" t="0" r="0" b="0"/>
            <wp:wrapSquare wrapText="bothSides"/>
            <wp:docPr id="5" name="Picture 5" descr="Wansbeck Valley Food 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nsbeck Valley Food Bank"/>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820035" cy="536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CD7">
        <w:rPr>
          <w:b/>
          <w:bCs/>
          <w:sz w:val="28"/>
          <w:szCs w:val="28"/>
        </w:rPr>
        <w:t>Data Retention Policy</w:t>
      </w:r>
    </w:p>
    <w:p w14:paraId="6834AFD5" w14:textId="484A6242" w:rsidR="00B33CD7" w:rsidRDefault="00B33CD7"/>
    <w:p w14:paraId="7C7C6F8E" w14:textId="6A5356F4" w:rsidR="00C30868" w:rsidRDefault="00C30868">
      <w:r>
        <w:t>Version No.:</w:t>
      </w:r>
      <w:r>
        <w:tab/>
      </w:r>
      <w:r w:rsidR="00595767">
        <w:t>1.0</w:t>
      </w:r>
      <w:r>
        <w:tab/>
      </w:r>
    </w:p>
    <w:p w14:paraId="35B5F91F" w14:textId="548E11A5" w:rsidR="00AA30F6" w:rsidRDefault="00C30868">
      <w:r>
        <w:t xml:space="preserve">Effective From: </w:t>
      </w:r>
      <w:r w:rsidR="00AA30F6">
        <w:tab/>
      </w:r>
      <w:r w:rsidR="00117465">
        <w:t>1 December 2021</w:t>
      </w:r>
    </w:p>
    <w:p w14:paraId="520A3D00" w14:textId="6F587A46" w:rsidR="00AA30F6" w:rsidRDefault="00C30868">
      <w:r>
        <w:t xml:space="preserve">Review Date: </w:t>
      </w:r>
      <w:r w:rsidR="00117465">
        <w:t xml:space="preserve">     1 December 2023</w:t>
      </w:r>
    </w:p>
    <w:tbl>
      <w:tblPr>
        <w:tblStyle w:val="TableGrid"/>
        <w:tblW w:w="0" w:type="auto"/>
        <w:tblLook w:val="04A0" w:firstRow="1" w:lastRow="0" w:firstColumn="1" w:lastColumn="0" w:noHBand="0" w:noVBand="1"/>
      </w:tblPr>
      <w:tblGrid>
        <w:gridCol w:w="2337"/>
        <w:gridCol w:w="2337"/>
        <w:gridCol w:w="2338"/>
        <w:gridCol w:w="2338"/>
      </w:tblGrid>
      <w:tr w:rsidR="00B540C1" w14:paraId="36B1F8D4" w14:textId="77777777" w:rsidTr="00B540C1">
        <w:tc>
          <w:tcPr>
            <w:tcW w:w="2337" w:type="dxa"/>
          </w:tcPr>
          <w:p w14:paraId="177B1B47" w14:textId="75096B49" w:rsidR="00B540C1" w:rsidRPr="00595767" w:rsidRDefault="00B540C1">
            <w:pPr>
              <w:rPr>
                <w:b/>
                <w:bCs/>
              </w:rPr>
            </w:pPr>
            <w:r w:rsidRPr="00595767">
              <w:rPr>
                <w:b/>
                <w:bCs/>
              </w:rPr>
              <w:t>Signature:</w:t>
            </w:r>
          </w:p>
        </w:tc>
        <w:tc>
          <w:tcPr>
            <w:tcW w:w="2337" w:type="dxa"/>
          </w:tcPr>
          <w:p w14:paraId="68D22871" w14:textId="68CA0B14" w:rsidR="00B540C1" w:rsidRPr="00595767" w:rsidRDefault="00B540C1">
            <w:pPr>
              <w:rPr>
                <w:b/>
                <w:bCs/>
              </w:rPr>
            </w:pPr>
            <w:r w:rsidRPr="00595767">
              <w:rPr>
                <w:b/>
                <w:bCs/>
              </w:rPr>
              <w:t>Signed by:</w:t>
            </w:r>
          </w:p>
        </w:tc>
        <w:tc>
          <w:tcPr>
            <w:tcW w:w="2338" w:type="dxa"/>
          </w:tcPr>
          <w:p w14:paraId="616652FC" w14:textId="4C398A89" w:rsidR="00B540C1" w:rsidRPr="00595767" w:rsidRDefault="00B540C1">
            <w:pPr>
              <w:rPr>
                <w:b/>
                <w:bCs/>
              </w:rPr>
            </w:pPr>
            <w:r w:rsidRPr="00595767">
              <w:rPr>
                <w:b/>
                <w:bCs/>
              </w:rPr>
              <w:t>Position</w:t>
            </w:r>
            <w:r w:rsidR="00595767" w:rsidRPr="00595767">
              <w:rPr>
                <w:b/>
                <w:bCs/>
              </w:rPr>
              <w:t>:</w:t>
            </w:r>
          </w:p>
        </w:tc>
        <w:tc>
          <w:tcPr>
            <w:tcW w:w="2338" w:type="dxa"/>
          </w:tcPr>
          <w:p w14:paraId="2D8A88E1" w14:textId="56848123" w:rsidR="00B540C1" w:rsidRPr="00595767" w:rsidRDefault="00595767">
            <w:pPr>
              <w:rPr>
                <w:b/>
                <w:bCs/>
              </w:rPr>
            </w:pPr>
            <w:r w:rsidRPr="00595767">
              <w:rPr>
                <w:b/>
                <w:bCs/>
              </w:rPr>
              <w:t>Date:</w:t>
            </w:r>
          </w:p>
        </w:tc>
      </w:tr>
      <w:tr w:rsidR="00B540C1" w14:paraId="1607D5C6" w14:textId="77777777" w:rsidTr="00B540C1">
        <w:tc>
          <w:tcPr>
            <w:tcW w:w="2337" w:type="dxa"/>
          </w:tcPr>
          <w:p w14:paraId="64A3B5BB" w14:textId="77777777" w:rsidR="00B540C1" w:rsidRDefault="00B540C1"/>
        </w:tc>
        <w:tc>
          <w:tcPr>
            <w:tcW w:w="2337" w:type="dxa"/>
          </w:tcPr>
          <w:p w14:paraId="777FA32B" w14:textId="77777777" w:rsidR="00B540C1" w:rsidRDefault="00B540C1"/>
        </w:tc>
        <w:tc>
          <w:tcPr>
            <w:tcW w:w="2338" w:type="dxa"/>
          </w:tcPr>
          <w:p w14:paraId="76A39976" w14:textId="77777777" w:rsidR="00B540C1" w:rsidRDefault="00B540C1"/>
        </w:tc>
        <w:tc>
          <w:tcPr>
            <w:tcW w:w="2338" w:type="dxa"/>
          </w:tcPr>
          <w:p w14:paraId="7D4332FC" w14:textId="77777777" w:rsidR="00B540C1" w:rsidRDefault="00B540C1"/>
        </w:tc>
      </w:tr>
    </w:tbl>
    <w:p w14:paraId="53E43AFB" w14:textId="77777777" w:rsidR="00AA30F6" w:rsidRDefault="00AA30F6"/>
    <w:p w14:paraId="64A6AFDD" w14:textId="79A538F2" w:rsidR="00B33CD7" w:rsidRPr="00816578" w:rsidRDefault="00B33CD7">
      <w:pPr>
        <w:rPr>
          <w:b/>
          <w:bCs/>
        </w:rPr>
      </w:pPr>
      <w:r w:rsidRPr="00816578">
        <w:rPr>
          <w:b/>
          <w:bCs/>
        </w:rPr>
        <w:t>1</w:t>
      </w:r>
      <w:r w:rsidR="00816578">
        <w:rPr>
          <w:b/>
          <w:bCs/>
        </w:rPr>
        <w:t>.</w:t>
      </w:r>
      <w:r w:rsidRPr="00816578">
        <w:rPr>
          <w:b/>
          <w:bCs/>
        </w:rPr>
        <w:t xml:space="preserve"> Introduction</w:t>
      </w:r>
    </w:p>
    <w:p w14:paraId="08D953C2" w14:textId="6038638A" w:rsidR="00806949" w:rsidRDefault="00194628">
      <w:r>
        <w:t xml:space="preserve">The purpose of this Policy is to ensure that the records and documents of </w:t>
      </w:r>
      <w:r w:rsidR="00806949">
        <w:t xml:space="preserve">Wansbeck Valley Food </w:t>
      </w:r>
      <w:r w:rsidR="001414C0">
        <w:t>Bank (</w:t>
      </w:r>
      <w:r>
        <w:t>W</w:t>
      </w:r>
      <w:r w:rsidR="00806949">
        <w:t>V</w:t>
      </w:r>
      <w:r>
        <w:t xml:space="preserve">FB) which are no longer needed, or are of no further value, are discarded at the proper time. </w:t>
      </w:r>
    </w:p>
    <w:p w14:paraId="41C88C77" w14:textId="77777777" w:rsidR="001414C0" w:rsidRDefault="00194628">
      <w:r>
        <w:t>Lengthy or indefinite retention of personal information could result in W</w:t>
      </w:r>
      <w:r w:rsidR="001414C0">
        <w:t>V</w:t>
      </w:r>
      <w:r>
        <w:t>FB breaching the General Data Protection Regulations (GDPR).</w:t>
      </w:r>
    </w:p>
    <w:p w14:paraId="2EB30FAF" w14:textId="77777777" w:rsidR="001414C0" w:rsidRDefault="00194628">
      <w:r>
        <w:t xml:space="preserve"> Likewise, premature destruction of documents could result in inability to defend litigious claims, create operational difficulties or failure to comply with the GDPR. </w:t>
      </w:r>
    </w:p>
    <w:p w14:paraId="02CDA3E7" w14:textId="338C8B7A" w:rsidR="00B33CD7" w:rsidRDefault="00194628">
      <w:r>
        <w:t>This policy sets out W</w:t>
      </w:r>
      <w:r w:rsidR="001414C0">
        <w:t>V</w:t>
      </w:r>
      <w:r>
        <w:t>FB's overall approach to meeting these legal requirements.</w:t>
      </w:r>
    </w:p>
    <w:p w14:paraId="31CF9F4A" w14:textId="5286A6E8" w:rsidR="00DE3194" w:rsidRPr="00816578" w:rsidRDefault="00794098">
      <w:pPr>
        <w:rPr>
          <w:b/>
          <w:bCs/>
        </w:rPr>
      </w:pPr>
      <w:r w:rsidRPr="00816578">
        <w:rPr>
          <w:b/>
          <w:bCs/>
        </w:rPr>
        <w:t>2</w:t>
      </w:r>
      <w:r w:rsidR="00816578">
        <w:rPr>
          <w:b/>
          <w:bCs/>
        </w:rPr>
        <w:t>.</w:t>
      </w:r>
      <w:r w:rsidRPr="00816578">
        <w:rPr>
          <w:b/>
          <w:bCs/>
        </w:rPr>
        <w:t xml:space="preserve"> Scope</w:t>
      </w:r>
    </w:p>
    <w:p w14:paraId="69829D96" w14:textId="77777777" w:rsidR="003335CE" w:rsidRDefault="009209EA">
      <w:r>
        <w:t>This policy applies to the retention and destruction of information, both personal and nonpersonal, by W</w:t>
      </w:r>
      <w:r w:rsidR="003335CE">
        <w:t>V</w:t>
      </w:r>
      <w:r>
        <w:t>FB which completely or partly involves:</w:t>
      </w:r>
    </w:p>
    <w:p w14:paraId="2078398D" w14:textId="13EC5989" w:rsidR="003335CE" w:rsidRDefault="009209EA">
      <w:r>
        <w:t xml:space="preserve"> </w:t>
      </w:r>
      <w:r>
        <w:sym w:font="Symbol" w:char="F0B7"/>
      </w:r>
      <w:r>
        <w:t xml:space="preserve"> manual filing </w:t>
      </w:r>
      <w:r w:rsidR="003335CE">
        <w:t>systems.</w:t>
      </w:r>
    </w:p>
    <w:p w14:paraId="43C5254D" w14:textId="77777777" w:rsidR="003335CE" w:rsidRDefault="009209EA">
      <w:r>
        <w:t xml:space="preserve"> </w:t>
      </w:r>
      <w:r>
        <w:sym w:font="Symbol" w:char="F0B7"/>
      </w:r>
      <w:r>
        <w:t xml:space="preserve"> automated means, such as computers.</w:t>
      </w:r>
    </w:p>
    <w:p w14:paraId="27E28FCC" w14:textId="07771214" w:rsidR="00794098" w:rsidRDefault="009209EA">
      <w:r>
        <w:t>N.B. More detailed information regarding the collection, handling and storage of personal information is set out in the Personal Data Protection Policy.</w:t>
      </w:r>
    </w:p>
    <w:p w14:paraId="7DFD4DF9" w14:textId="4FE52EC5" w:rsidR="00816578" w:rsidRPr="00783A0D" w:rsidRDefault="00816578">
      <w:pPr>
        <w:rPr>
          <w:b/>
          <w:bCs/>
        </w:rPr>
      </w:pPr>
      <w:r w:rsidRPr="00783A0D">
        <w:rPr>
          <w:b/>
          <w:bCs/>
        </w:rPr>
        <w:t xml:space="preserve">3. </w:t>
      </w:r>
      <w:r w:rsidR="00783A0D" w:rsidRPr="00783A0D">
        <w:rPr>
          <w:b/>
          <w:bCs/>
        </w:rPr>
        <w:t>Data Retention</w:t>
      </w:r>
    </w:p>
    <w:p w14:paraId="37C21E65" w14:textId="77777777" w:rsidR="008103E3" w:rsidRDefault="005169F6">
      <w:r>
        <w:t>The Record Retention Schedule (Appendix A) shows the disposal schedule for physical records of W</w:t>
      </w:r>
      <w:r w:rsidR="00C7054D">
        <w:t>V</w:t>
      </w:r>
      <w:r>
        <w:t>FB and the retention and deletion of electronic documents. W</w:t>
      </w:r>
      <w:r w:rsidR="00C7054D">
        <w:t>V</w:t>
      </w:r>
      <w:r>
        <w:t>FB will make modifications to the Record Retention Schedule from time to time to ensure that it follows national legislation and includes the appropriate record categories for W</w:t>
      </w:r>
      <w:r w:rsidR="00C7054D">
        <w:t>V</w:t>
      </w:r>
      <w:r>
        <w:t xml:space="preserve">FB. The Foodbank will also monitor legislation affecting record retention; annually review the record retention and disposal programme; and monitor compliance with this Policy. </w:t>
      </w:r>
    </w:p>
    <w:p w14:paraId="1601048C" w14:textId="77777777" w:rsidR="008103E3" w:rsidRDefault="005169F6">
      <w:proofErr w:type="gramStart"/>
      <w:r>
        <w:t>In order to</w:t>
      </w:r>
      <w:proofErr w:type="gramEnd"/>
      <w:r>
        <w:t xml:space="preserve"> minimise the proliferation of multiple copies of the same document, which may be retained inadvertently, wherever possible only one copy of paper and electronic documents will be held. Electronic documents will be shared via links, rather than as Page 2 of 8 attachments to emails, which create additional copies of the document.</w:t>
      </w:r>
    </w:p>
    <w:p w14:paraId="52DFB960" w14:textId="77777777" w:rsidR="00FC1ADA" w:rsidRDefault="005169F6">
      <w:r>
        <w:lastRenderedPageBreak/>
        <w:t xml:space="preserve"> In addition, any retained personal information can only be used for the purpose for which it is stored, as set out in the Personal Data Protection Policy. </w:t>
      </w:r>
    </w:p>
    <w:p w14:paraId="60EE3FF8" w14:textId="77777777" w:rsidR="00FC1ADA" w:rsidRDefault="005169F6">
      <w:r>
        <w:t>Everyone who works for or with W</w:t>
      </w:r>
      <w:r w:rsidR="00FC1ADA">
        <w:t>V</w:t>
      </w:r>
      <w:r>
        <w:t xml:space="preserve">FB shares responsibility for ensuring that information is held only </w:t>
      </w:r>
      <w:proofErr w:type="gramStart"/>
      <w:r>
        <w:t>as long as</w:t>
      </w:r>
      <w:proofErr w:type="gramEnd"/>
      <w:r>
        <w:t xml:space="preserve"> is set out in this policy and thereafter destroyed securely. Staff and volunteers must comply with this policy, as well as any supporting procedures and guidance relating to their role.</w:t>
      </w:r>
    </w:p>
    <w:p w14:paraId="567452F4" w14:textId="3E4529C9" w:rsidR="001C5B1C" w:rsidRDefault="005169F6">
      <w:r>
        <w:t xml:space="preserve">Documents or files may only be destroyed if the retention period has expired and there is no other requirement to keep them. Destruction is authorised by the </w:t>
      </w:r>
      <w:r w:rsidR="001C5B1C">
        <w:t>Administration Trustee</w:t>
      </w:r>
      <w:r>
        <w:t xml:space="preserve"> </w:t>
      </w:r>
    </w:p>
    <w:p w14:paraId="26401748" w14:textId="500D799D" w:rsidR="00783A0D" w:rsidRDefault="005169F6">
      <w:r>
        <w:t>The Board of Trustees is ultimately responsible for ensuring that W</w:t>
      </w:r>
      <w:r w:rsidR="001C5B1C">
        <w:t>V</w:t>
      </w:r>
      <w:r>
        <w:t>FB meets its legal obligations in relation to data protection and record retention.</w:t>
      </w:r>
    </w:p>
    <w:p w14:paraId="2FFF6589" w14:textId="207F54A4" w:rsidR="00E410A5" w:rsidRPr="002219A7" w:rsidRDefault="00E410A5">
      <w:pPr>
        <w:rPr>
          <w:b/>
          <w:bCs/>
        </w:rPr>
      </w:pPr>
      <w:r w:rsidRPr="002219A7">
        <w:rPr>
          <w:b/>
          <w:bCs/>
        </w:rPr>
        <w:t xml:space="preserve">4. Suspension of Record Disposal in Event of </w:t>
      </w:r>
      <w:r w:rsidR="00FB5AF4" w:rsidRPr="002219A7">
        <w:rPr>
          <w:b/>
          <w:bCs/>
        </w:rPr>
        <w:t>Legal Proceedings or Claims.</w:t>
      </w:r>
    </w:p>
    <w:p w14:paraId="47801C93" w14:textId="77777777" w:rsidR="00504BCB" w:rsidRDefault="002219A7" w:rsidP="002219A7">
      <w:r>
        <w:t>There are certain occasions when information needs to be preserved beyond any limits set out in this Policy. The Policy must be SUSPENDED relating to a specific person or document and the information retained beyond the period specified in the Data Retention Schedule in the following circumstances:</w:t>
      </w:r>
    </w:p>
    <w:p w14:paraId="40A3529C" w14:textId="6F79A888" w:rsidR="00504BCB" w:rsidRDefault="002219A7" w:rsidP="002219A7">
      <w:r>
        <w:t xml:space="preserve"> </w:t>
      </w:r>
      <w:r>
        <w:sym w:font="Symbol" w:char="F0B7"/>
      </w:r>
      <w:r>
        <w:t xml:space="preserve"> Legal proceedings or a regulatory or similar investigation or obligation to produce information are known to be likely, </w:t>
      </w:r>
      <w:r w:rsidR="00CF273A">
        <w:t>threatened,</w:t>
      </w:r>
      <w:r>
        <w:t xml:space="preserve"> or actual. </w:t>
      </w:r>
    </w:p>
    <w:p w14:paraId="58BF31DD" w14:textId="77777777" w:rsidR="00504BCB" w:rsidRDefault="002219A7" w:rsidP="002219A7">
      <w:r>
        <w:sym w:font="Symbol" w:char="F0B7"/>
      </w:r>
      <w:r>
        <w:t xml:space="preserve"> A crime is suspected or detected. </w:t>
      </w:r>
    </w:p>
    <w:p w14:paraId="3FD8D1A8" w14:textId="77777777" w:rsidR="00380CB9" w:rsidRDefault="002219A7" w:rsidP="002219A7">
      <w:r>
        <w:sym w:font="Symbol" w:char="F0B7"/>
      </w:r>
      <w:r>
        <w:t xml:space="preserve"> Information is relevant to a company in liquidation or receivership, where a debt is due to W</w:t>
      </w:r>
      <w:r w:rsidR="00380CB9">
        <w:t>V</w:t>
      </w:r>
      <w:r>
        <w:t>FB.</w:t>
      </w:r>
    </w:p>
    <w:p w14:paraId="407F7745" w14:textId="03F6222A" w:rsidR="00380CB9" w:rsidRDefault="002219A7" w:rsidP="002219A7">
      <w:r>
        <w:t xml:space="preserve"> </w:t>
      </w:r>
      <w:r>
        <w:sym w:font="Symbol" w:char="F0B7"/>
      </w:r>
      <w:r>
        <w:t xml:space="preserve"> Information </w:t>
      </w:r>
      <w:proofErr w:type="gramStart"/>
      <w:r>
        <w:t>is considered to be</w:t>
      </w:r>
      <w:proofErr w:type="gramEnd"/>
      <w:r>
        <w:t xml:space="preserve"> of potential historical </w:t>
      </w:r>
      <w:r w:rsidR="00CF273A">
        <w:t>importance,</w:t>
      </w:r>
      <w:r>
        <w:t xml:space="preserve"> and this has been confirmed by the </w:t>
      </w:r>
      <w:r w:rsidR="00380CB9">
        <w:t>Administration Trustee</w:t>
      </w:r>
      <w:r>
        <w:t xml:space="preserve">. </w:t>
      </w:r>
    </w:p>
    <w:p w14:paraId="06F33A9E" w14:textId="77777777" w:rsidR="00393B2E" w:rsidRDefault="002219A7" w:rsidP="002219A7">
      <w:r>
        <w:sym w:font="Symbol" w:char="F0B7"/>
      </w:r>
      <w:r>
        <w:t xml:space="preserve"> In the case of possible or actual legal proceedings, investigations or crimes occurring, the type of information that needs to be retained relates to any that will help or harm W</w:t>
      </w:r>
      <w:r w:rsidR="00393B2E">
        <w:t>V</w:t>
      </w:r>
      <w:r>
        <w:t xml:space="preserve">FB or the other side’s case or liability or amount involved. </w:t>
      </w:r>
    </w:p>
    <w:p w14:paraId="2A1C70CD" w14:textId="318DD1E0" w:rsidR="00393B2E" w:rsidRDefault="002219A7" w:rsidP="002219A7">
      <w:r>
        <w:sym w:font="Symbol" w:char="F0B7"/>
      </w:r>
      <w:r>
        <w:t xml:space="preserve"> If there is any doubt over whether legal proceedings, an investigation or a crime could occur, or what information is relevant or material in these circumstances, the Trustees should be </w:t>
      </w:r>
      <w:r w:rsidR="00393B2E">
        <w:t>consulted,</w:t>
      </w:r>
      <w:r>
        <w:t xml:space="preserve"> and legal advice sought. </w:t>
      </w:r>
    </w:p>
    <w:p w14:paraId="12DA905E" w14:textId="788404C5" w:rsidR="002219A7" w:rsidRDefault="002219A7" w:rsidP="002219A7">
      <w:r>
        <w:sym w:font="Symbol" w:char="F0B7"/>
      </w:r>
      <w:r>
        <w:t xml:space="preserve"> The </w:t>
      </w:r>
      <w:r w:rsidR="00393B2E">
        <w:t>Administration Trustee</w:t>
      </w:r>
      <w:r>
        <w:t xml:space="preserve"> shall take such steps as is necessary to promptly inform all staff and volunteers of any suspension in the further disposal of documents.</w:t>
      </w:r>
    </w:p>
    <w:p w14:paraId="4FDECDAD" w14:textId="589A14DD" w:rsidR="00FB5AF4" w:rsidRPr="00066E3E" w:rsidRDefault="0075084C">
      <w:pPr>
        <w:rPr>
          <w:b/>
          <w:bCs/>
        </w:rPr>
      </w:pPr>
      <w:r w:rsidRPr="00066E3E">
        <w:rPr>
          <w:b/>
          <w:bCs/>
        </w:rPr>
        <w:t>5. Archiving and Data Destruction</w:t>
      </w:r>
    </w:p>
    <w:p w14:paraId="2A1F4425" w14:textId="1A3AAB33" w:rsidR="0075084C" w:rsidRPr="00D2476D" w:rsidRDefault="00066E3E">
      <w:pPr>
        <w:rPr>
          <w:b/>
          <w:bCs/>
        </w:rPr>
      </w:pPr>
      <w:r w:rsidRPr="00D2476D">
        <w:rPr>
          <w:b/>
          <w:bCs/>
        </w:rPr>
        <w:t>5.1 Archiving</w:t>
      </w:r>
    </w:p>
    <w:p w14:paraId="4E5BA9DB" w14:textId="3316B19B" w:rsidR="00523202" w:rsidRDefault="00523202" w:rsidP="00523202">
      <w:r>
        <w:t xml:space="preserve">It is Foodbank policy that all dormant hard copy and electronic files should be archived when no longer being actively worked on. It is important to check the retention period before </w:t>
      </w:r>
      <w:r w:rsidR="00F61007">
        <w:t>storing</w:t>
      </w:r>
      <w:r>
        <w:t xml:space="preserve"> hard copy files or archiving electronic files.</w:t>
      </w:r>
    </w:p>
    <w:p w14:paraId="08A859A9" w14:textId="2C1BB0E4" w:rsidR="00806C6C" w:rsidRPr="00A20F46" w:rsidRDefault="00806C6C" w:rsidP="00523202">
      <w:pPr>
        <w:rPr>
          <w:b/>
          <w:bCs/>
        </w:rPr>
      </w:pPr>
      <w:r w:rsidRPr="00A20F46">
        <w:rPr>
          <w:b/>
          <w:bCs/>
        </w:rPr>
        <w:t>5.2 Destruction of Paper Records</w:t>
      </w:r>
    </w:p>
    <w:p w14:paraId="75D10189" w14:textId="522FAEAB" w:rsidR="00311F95" w:rsidRDefault="00311F95" w:rsidP="00311F95">
      <w:r>
        <w:t xml:space="preserve">All paper records due for destruction should be disposed of in a secure manner and in such a fashion that the information contained in them is no longer legible and cannot be reconstructed. </w:t>
      </w:r>
    </w:p>
    <w:p w14:paraId="0A4CAEB1" w14:textId="5158E6E8" w:rsidR="00824376" w:rsidRPr="00824376" w:rsidRDefault="00824376" w:rsidP="00311F95">
      <w:pPr>
        <w:rPr>
          <w:b/>
          <w:bCs/>
        </w:rPr>
      </w:pPr>
      <w:r w:rsidRPr="00824376">
        <w:rPr>
          <w:b/>
          <w:bCs/>
        </w:rPr>
        <w:lastRenderedPageBreak/>
        <w:t>5.3. Deletion of digital information and any back ups</w:t>
      </w:r>
    </w:p>
    <w:p w14:paraId="112EF578" w14:textId="77777777" w:rsidR="000D2B3C" w:rsidRDefault="000D2B3C" w:rsidP="000D2B3C">
      <w:r>
        <w:t xml:space="preserve">When removing or deleting data from computers and electronic devices, staff and volunteers must also include the destruction of associated back-ups or background storage. This ensures that the information is not still held in any form, even after the current version of the data has been deleted. Staff and volunteers need to be aware that often digital systems hold on to data in the recycle bin until it is automatically replaced or overwritten. </w:t>
      </w:r>
    </w:p>
    <w:p w14:paraId="5A9F41EC" w14:textId="47733EC2" w:rsidR="00824376" w:rsidRDefault="00DA4585" w:rsidP="00311F95">
      <w:pPr>
        <w:rPr>
          <w:b/>
          <w:bCs/>
        </w:rPr>
      </w:pPr>
      <w:r w:rsidRPr="00DA4585">
        <w:rPr>
          <w:b/>
          <w:bCs/>
        </w:rPr>
        <w:t xml:space="preserve">6. </w:t>
      </w:r>
      <w:r w:rsidR="00D404E0" w:rsidRPr="00DA4585">
        <w:rPr>
          <w:b/>
          <w:bCs/>
        </w:rPr>
        <w:t>Equality and Diversity</w:t>
      </w:r>
    </w:p>
    <w:p w14:paraId="4DF8C4C8" w14:textId="6708FA3D" w:rsidR="00795228" w:rsidRDefault="00795228" w:rsidP="00795228">
      <w:r>
        <w:t xml:space="preserve">WVFB is committed to ensuring that it treats its employees and volunteers </w:t>
      </w:r>
      <w:proofErr w:type="gramStart"/>
      <w:r>
        <w:t>fairly equitably</w:t>
      </w:r>
      <w:proofErr w:type="gramEnd"/>
      <w:r>
        <w:t xml:space="preserve"> and reasonably and that it does not discriminate against individuals or groups on the basis of their ethnic origin, physical or mental abilities, gender, age, religious beliefs or sexual orientation. This policy has been appropriately assessed. </w:t>
      </w:r>
    </w:p>
    <w:p w14:paraId="5E74D252" w14:textId="0FAD6184" w:rsidR="00795228" w:rsidRPr="00BE3C9A" w:rsidRDefault="00795228" w:rsidP="00795228">
      <w:pPr>
        <w:rPr>
          <w:b/>
          <w:bCs/>
        </w:rPr>
      </w:pPr>
      <w:r w:rsidRPr="00BE3C9A">
        <w:rPr>
          <w:b/>
          <w:bCs/>
        </w:rPr>
        <w:t xml:space="preserve">7. </w:t>
      </w:r>
      <w:r w:rsidR="00BE3C9A" w:rsidRPr="00BE3C9A">
        <w:rPr>
          <w:b/>
          <w:bCs/>
        </w:rPr>
        <w:t>Monitoring and Compliance</w:t>
      </w:r>
    </w:p>
    <w:p w14:paraId="0982BD87" w14:textId="5BBB0FC6" w:rsidR="00BE3C9A" w:rsidRDefault="00BF53BC" w:rsidP="00795228">
      <w:r>
        <w:t xml:space="preserve">WVFB will maintain effective </w:t>
      </w:r>
      <w:r w:rsidR="007A0E0C">
        <w:t>monitoring</w:t>
      </w:r>
      <w:r>
        <w:t xml:space="preserve"> systems to ensure implementation of this policy</w:t>
      </w:r>
      <w:r w:rsidR="007A0E0C">
        <w:t>, including the following:</w:t>
      </w:r>
    </w:p>
    <w:tbl>
      <w:tblPr>
        <w:tblStyle w:val="TableGrid"/>
        <w:tblW w:w="0" w:type="auto"/>
        <w:tblLook w:val="04A0" w:firstRow="1" w:lastRow="0" w:firstColumn="1" w:lastColumn="0" w:noHBand="0" w:noVBand="1"/>
      </w:tblPr>
      <w:tblGrid>
        <w:gridCol w:w="4626"/>
        <w:gridCol w:w="1165"/>
        <w:gridCol w:w="1163"/>
        <w:gridCol w:w="1168"/>
        <w:gridCol w:w="1228"/>
      </w:tblGrid>
      <w:tr w:rsidR="00AC562E" w14:paraId="5D3F4A07" w14:textId="77777777" w:rsidTr="00AC562E">
        <w:tc>
          <w:tcPr>
            <w:tcW w:w="4675" w:type="dxa"/>
            <w:vMerge w:val="restart"/>
          </w:tcPr>
          <w:p w14:paraId="26F388A4" w14:textId="3D0D6AC2" w:rsidR="00AC562E" w:rsidRPr="00705651" w:rsidRDefault="0019156C" w:rsidP="00795228">
            <w:pPr>
              <w:rPr>
                <w:b/>
                <w:bCs/>
              </w:rPr>
            </w:pPr>
            <w:r w:rsidRPr="00705651">
              <w:rPr>
                <w:b/>
                <w:bCs/>
              </w:rPr>
              <w:t>Standard/process/issue</w:t>
            </w:r>
          </w:p>
        </w:tc>
        <w:tc>
          <w:tcPr>
            <w:tcW w:w="4675" w:type="dxa"/>
            <w:gridSpan w:val="4"/>
          </w:tcPr>
          <w:p w14:paraId="67CDCD06" w14:textId="4B51C76B" w:rsidR="00AC562E" w:rsidRPr="00705651" w:rsidRDefault="0019156C" w:rsidP="00795228">
            <w:pPr>
              <w:rPr>
                <w:b/>
                <w:bCs/>
              </w:rPr>
            </w:pPr>
            <w:r w:rsidRPr="00705651">
              <w:rPr>
                <w:b/>
                <w:bCs/>
              </w:rPr>
              <w:t>Monitoring and audit</w:t>
            </w:r>
          </w:p>
        </w:tc>
      </w:tr>
      <w:tr w:rsidR="009B5D9F" w14:paraId="34BF5EBA" w14:textId="77777777" w:rsidTr="00930113">
        <w:tc>
          <w:tcPr>
            <w:tcW w:w="4675" w:type="dxa"/>
            <w:vMerge/>
          </w:tcPr>
          <w:p w14:paraId="6007C921" w14:textId="77777777" w:rsidR="009B5D9F" w:rsidRDefault="009B5D9F" w:rsidP="00795228"/>
        </w:tc>
        <w:tc>
          <w:tcPr>
            <w:tcW w:w="1168" w:type="dxa"/>
          </w:tcPr>
          <w:p w14:paraId="07FE6663" w14:textId="3A780FEF" w:rsidR="009B5D9F" w:rsidRPr="00705651" w:rsidRDefault="0019156C" w:rsidP="00795228">
            <w:pPr>
              <w:rPr>
                <w:b/>
                <w:bCs/>
              </w:rPr>
            </w:pPr>
            <w:r w:rsidRPr="00705651">
              <w:rPr>
                <w:b/>
                <w:bCs/>
              </w:rPr>
              <w:t>Method</w:t>
            </w:r>
            <w:r w:rsidR="00700F46" w:rsidRPr="00705651">
              <w:rPr>
                <w:b/>
                <w:bCs/>
              </w:rPr>
              <w:t>:</w:t>
            </w:r>
          </w:p>
        </w:tc>
        <w:tc>
          <w:tcPr>
            <w:tcW w:w="1169" w:type="dxa"/>
          </w:tcPr>
          <w:p w14:paraId="45AA8801" w14:textId="5D55AA6D" w:rsidR="009B5D9F" w:rsidRPr="00705651" w:rsidRDefault="0019156C" w:rsidP="00795228">
            <w:pPr>
              <w:rPr>
                <w:b/>
                <w:bCs/>
              </w:rPr>
            </w:pPr>
            <w:r w:rsidRPr="00705651">
              <w:rPr>
                <w:b/>
                <w:bCs/>
              </w:rPr>
              <w:t>B</w:t>
            </w:r>
            <w:r w:rsidR="00700F46" w:rsidRPr="00705651">
              <w:rPr>
                <w:b/>
                <w:bCs/>
              </w:rPr>
              <w:t>y:</w:t>
            </w:r>
          </w:p>
        </w:tc>
        <w:tc>
          <w:tcPr>
            <w:tcW w:w="1169" w:type="dxa"/>
          </w:tcPr>
          <w:p w14:paraId="3A30765D" w14:textId="2220BF3F" w:rsidR="009B5D9F" w:rsidRPr="00705651" w:rsidRDefault="00700F46" w:rsidP="00795228">
            <w:pPr>
              <w:rPr>
                <w:b/>
                <w:bCs/>
              </w:rPr>
            </w:pPr>
            <w:r w:rsidRPr="00705651">
              <w:rPr>
                <w:b/>
                <w:bCs/>
              </w:rPr>
              <w:t>Reporting to:</w:t>
            </w:r>
          </w:p>
        </w:tc>
        <w:tc>
          <w:tcPr>
            <w:tcW w:w="1169" w:type="dxa"/>
          </w:tcPr>
          <w:p w14:paraId="25BBE7FB" w14:textId="6A39E36D" w:rsidR="009B5D9F" w:rsidRPr="00705651" w:rsidRDefault="00700F46" w:rsidP="00795228">
            <w:pPr>
              <w:rPr>
                <w:b/>
                <w:bCs/>
              </w:rPr>
            </w:pPr>
            <w:r w:rsidRPr="00705651">
              <w:rPr>
                <w:b/>
                <w:bCs/>
              </w:rPr>
              <w:t>Frequency:</w:t>
            </w:r>
          </w:p>
        </w:tc>
      </w:tr>
      <w:tr w:rsidR="009B5D9F" w14:paraId="4A62C23F" w14:textId="77777777" w:rsidTr="00930113">
        <w:tc>
          <w:tcPr>
            <w:tcW w:w="4675" w:type="dxa"/>
          </w:tcPr>
          <w:p w14:paraId="7C1FEB1A" w14:textId="0A8F3CF7" w:rsidR="009B5D9F" w:rsidRDefault="00CB62D2" w:rsidP="00795228">
            <w:r>
              <w:t>Record retention and disposal programme</w:t>
            </w:r>
          </w:p>
        </w:tc>
        <w:tc>
          <w:tcPr>
            <w:tcW w:w="1168" w:type="dxa"/>
          </w:tcPr>
          <w:p w14:paraId="1E14D659" w14:textId="3F15A0B3" w:rsidR="009B5D9F" w:rsidRDefault="00CB62D2" w:rsidP="00795228">
            <w:r>
              <w:t>Audit</w:t>
            </w:r>
          </w:p>
        </w:tc>
        <w:tc>
          <w:tcPr>
            <w:tcW w:w="1169" w:type="dxa"/>
          </w:tcPr>
          <w:p w14:paraId="206FE82E" w14:textId="7D453744" w:rsidR="009B5D9F" w:rsidRDefault="00CB62D2" w:rsidP="00795228">
            <w:r>
              <w:t>Admin Trustee</w:t>
            </w:r>
          </w:p>
        </w:tc>
        <w:tc>
          <w:tcPr>
            <w:tcW w:w="1169" w:type="dxa"/>
          </w:tcPr>
          <w:p w14:paraId="002AEA02" w14:textId="5AC81FF7" w:rsidR="009B5D9F" w:rsidRDefault="00CB62D2" w:rsidP="00795228">
            <w:r>
              <w:t>Board of Trustees</w:t>
            </w:r>
          </w:p>
        </w:tc>
        <w:tc>
          <w:tcPr>
            <w:tcW w:w="1169" w:type="dxa"/>
          </w:tcPr>
          <w:p w14:paraId="6F8B3450" w14:textId="6DCF9BBA" w:rsidR="009B5D9F" w:rsidRDefault="00CB62D2" w:rsidP="00795228">
            <w:r>
              <w:t>Annual</w:t>
            </w:r>
            <w:r w:rsidR="00705651">
              <w:t>ly</w:t>
            </w:r>
          </w:p>
        </w:tc>
      </w:tr>
    </w:tbl>
    <w:p w14:paraId="3258FA1E" w14:textId="77777777" w:rsidR="007A0E0C" w:rsidRDefault="007A0E0C" w:rsidP="00795228"/>
    <w:p w14:paraId="2B3B7397" w14:textId="77777777" w:rsidR="00DA4585" w:rsidRPr="00DA4585" w:rsidRDefault="00DA4585" w:rsidP="00311F95"/>
    <w:p w14:paraId="340286B2" w14:textId="77777777" w:rsidR="00D404E0" w:rsidRDefault="00D404E0" w:rsidP="00311F95"/>
    <w:p w14:paraId="3D5DD3A0" w14:textId="77777777" w:rsidR="00806C6C" w:rsidRDefault="00806C6C" w:rsidP="00523202"/>
    <w:p w14:paraId="57C6949A" w14:textId="3D833B37" w:rsidR="00066E3E" w:rsidRDefault="00066E3E"/>
    <w:p w14:paraId="6E8383D2" w14:textId="4664FD22" w:rsidR="00D65D08" w:rsidRDefault="00D65D08"/>
    <w:p w14:paraId="2B4FE648" w14:textId="33422555" w:rsidR="00D65D08" w:rsidRDefault="00D65D08"/>
    <w:p w14:paraId="0B9F0B2B" w14:textId="6F7C2990" w:rsidR="00D65D08" w:rsidRDefault="00D65D08"/>
    <w:p w14:paraId="09537B51" w14:textId="62AE8B98" w:rsidR="00D65D08" w:rsidRDefault="00D65D08"/>
    <w:p w14:paraId="5D2E36C2" w14:textId="50F7A9EF" w:rsidR="00D65D08" w:rsidRDefault="00D65D08"/>
    <w:p w14:paraId="483F2086" w14:textId="38CF8155" w:rsidR="00D65D08" w:rsidRDefault="00D65D08"/>
    <w:p w14:paraId="0BA16CC1" w14:textId="4AD5D78B" w:rsidR="00D65D08" w:rsidRDefault="00D65D08"/>
    <w:p w14:paraId="08BAC884" w14:textId="00AB1B57" w:rsidR="00D65D08" w:rsidRDefault="00D65D08"/>
    <w:p w14:paraId="3F44929A" w14:textId="44B8E80D" w:rsidR="00D65D08" w:rsidRDefault="00D65D08"/>
    <w:p w14:paraId="04AB1251" w14:textId="31EA6DDE" w:rsidR="00D65D08" w:rsidRDefault="00D65D08"/>
    <w:p w14:paraId="09859938" w14:textId="6553BC54" w:rsidR="00D65D08" w:rsidRDefault="00D65D08"/>
    <w:p w14:paraId="7229450D" w14:textId="46357B51" w:rsidR="00D65D08" w:rsidRDefault="00D65D08"/>
    <w:p w14:paraId="0CC8A440" w14:textId="28CBA770" w:rsidR="00D65D08" w:rsidRDefault="00D312BE">
      <w:r>
        <w:t xml:space="preserve">Appendix A </w:t>
      </w:r>
      <w:r>
        <w:tab/>
      </w:r>
      <w:r>
        <w:tab/>
        <w:t>Record Retention Schedule</w:t>
      </w:r>
    </w:p>
    <w:p w14:paraId="27E329DD" w14:textId="7A2E0B62" w:rsidR="003B7E1B" w:rsidRDefault="003B7E1B" w:rsidP="003B7E1B">
      <w:pPr>
        <w:pStyle w:val="ListParagraph"/>
        <w:numPr>
          <w:ilvl w:val="0"/>
          <w:numId w:val="1"/>
        </w:numPr>
      </w:pPr>
      <w:r>
        <w:t>Accounting, Finance and Contracts</w:t>
      </w:r>
    </w:p>
    <w:tbl>
      <w:tblPr>
        <w:tblStyle w:val="TableGrid"/>
        <w:tblW w:w="0" w:type="auto"/>
        <w:tblLook w:val="04A0" w:firstRow="1" w:lastRow="0" w:firstColumn="1" w:lastColumn="0" w:noHBand="0" w:noVBand="1"/>
      </w:tblPr>
      <w:tblGrid>
        <w:gridCol w:w="7105"/>
        <w:gridCol w:w="2245"/>
      </w:tblGrid>
      <w:tr w:rsidR="00E65FE2" w14:paraId="4D0D0D90" w14:textId="77777777" w:rsidTr="00FE0FA1">
        <w:tc>
          <w:tcPr>
            <w:tcW w:w="7105" w:type="dxa"/>
          </w:tcPr>
          <w:p w14:paraId="61A7A28C" w14:textId="726C398E" w:rsidR="00E65FE2" w:rsidRPr="00157912" w:rsidRDefault="00FE0FA1" w:rsidP="003B7E1B">
            <w:pPr>
              <w:rPr>
                <w:b/>
                <w:bCs/>
              </w:rPr>
            </w:pPr>
            <w:r w:rsidRPr="00157912">
              <w:rPr>
                <w:b/>
                <w:bCs/>
              </w:rPr>
              <w:t>Record Type</w:t>
            </w:r>
          </w:p>
        </w:tc>
        <w:tc>
          <w:tcPr>
            <w:tcW w:w="2245" w:type="dxa"/>
          </w:tcPr>
          <w:p w14:paraId="7713C8D8" w14:textId="378EFBB4" w:rsidR="00E65FE2" w:rsidRPr="00157912" w:rsidRDefault="005B3ADA" w:rsidP="003B7E1B">
            <w:pPr>
              <w:rPr>
                <w:b/>
                <w:bCs/>
              </w:rPr>
            </w:pPr>
            <w:r w:rsidRPr="00157912">
              <w:rPr>
                <w:b/>
                <w:bCs/>
              </w:rPr>
              <w:t>Retention Period</w:t>
            </w:r>
          </w:p>
        </w:tc>
      </w:tr>
      <w:tr w:rsidR="00E65FE2" w14:paraId="321BF982" w14:textId="77777777" w:rsidTr="00FE0FA1">
        <w:tc>
          <w:tcPr>
            <w:tcW w:w="7105" w:type="dxa"/>
          </w:tcPr>
          <w:p w14:paraId="08CE3A56" w14:textId="64EBC17D" w:rsidR="00E65FE2" w:rsidRDefault="005B3ADA" w:rsidP="003B7E1B">
            <w:r>
              <w:t xml:space="preserve">Annual Audit Reports </w:t>
            </w:r>
            <w:r w:rsidR="00C44741">
              <w:t>and Financial Statements</w:t>
            </w:r>
          </w:p>
        </w:tc>
        <w:tc>
          <w:tcPr>
            <w:tcW w:w="2245" w:type="dxa"/>
          </w:tcPr>
          <w:p w14:paraId="6AA0B3BB" w14:textId="52E9B62E" w:rsidR="00E65FE2" w:rsidRDefault="00C44741" w:rsidP="003B7E1B">
            <w:r>
              <w:t>Permanent</w:t>
            </w:r>
          </w:p>
        </w:tc>
      </w:tr>
      <w:tr w:rsidR="00E65FE2" w14:paraId="52BBC03C" w14:textId="77777777" w:rsidTr="00FE0FA1">
        <w:tc>
          <w:tcPr>
            <w:tcW w:w="7105" w:type="dxa"/>
          </w:tcPr>
          <w:p w14:paraId="763FAB44" w14:textId="069F86BA" w:rsidR="00E65FE2" w:rsidRDefault="00D7430F" w:rsidP="003B7E1B">
            <w:r>
              <w:t xml:space="preserve">Annual Audit Records, including work papers and other </w:t>
            </w:r>
            <w:r w:rsidR="00370B42">
              <w:t>documents that relate to the audit</w:t>
            </w:r>
          </w:p>
        </w:tc>
        <w:tc>
          <w:tcPr>
            <w:tcW w:w="2245" w:type="dxa"/>
          </w:tcPr>
          <w:p w14:paraId="039A5501" w14:textId="21A82314" w:rsidR="00E65FE2" w:rsidRDefault="00370B42" w:rsidP="003B7E1B">
            <w:r>
              <w:t>7 years after completion of audit</w:t>
            </w:r>
          </w:p>
        </w:tc>
      </w:tr>
      <w:tr w:rsidR="00E65FE2" w14:paraId="1E7B6867" w14:textId="77777777" w:rsidTr="00FE0FA1">
        <w:tc>
          <w:tcPr>
            <w:tcW w:w="7105" w:type="dxa"/>
          </w:tcPr>
          <w:p w14:paraId="07CA9278" w14:textId="665A684D" w:rsidR="00E65FE2" w:rsidRDefault="00370B42" w:rsidP="003B7E1B">
            <w:r>
              <w:t>Annual Plans</w:t>
            </w:r>
            <w:r w:rsidR="00B74239">
              <w:t xml:space="preserve"> and Budgets</w:t>
            </w:r>
          </w:p>
        </w:tc>
        <w:tc>
          <w:tcPr>
            <w:tcW w:w="2245" w:type="dxa"/>
          </w:tcPr>
          <w:p w14:paraId="0161C2D0" w14:textId="59839585" w:rsidR="00E65FE2" w:rsidRDefault="00B74239" w:rsidP="003B7E1B">
            <w:r>
              <w:t>7 years</w:t>
            </w:r>
          </w:p>
        </w:tc>
      </w:tr>
      <w:tr w:rsidR="00E65FE2" w14:paraId="4D393E8C" w14:textId="77777777" w:rsidTr="00FE0FA1">
        <w:tc>
          <w:tcPr>
            <w:tcW w:w="7105" w:type="dxa"/>
          </w:tcPr>
          <w:p w14:paraId="7F60EBCA" w14:textId="35199FFD" w:rsidR="00E65FE2" w:rsidRDefault="00B74239" w:rsidP="003B7E1B">
            <w:r>
              <w:t>Bank Statements and Cancelled</w:t>
            </w:r>
            <w:r w:rsidR="00B51FA6">
              <w:t xml:space="preserve"> Cheques</w:t>
            </w:r>
          </w:p>
        </w:tc>
        <w:tc>
          <w:tcPr>
            <w:tcW w:w="2245" w:type="dxa"/>
          </w:tcPr>
          <w:p w14:paraId="4442AED0" w14:textId="3DFECF3F" w:rsidR="00E65FE2" w:rsidRDefault="00B51FA6" w:rsidP="003B7E1B">
            <w:r>
              <w:t>7 years</w:t>
            </w:r>
          </w:p>
        </w:tc>
      </w:tr>
      <w:tr w:rsidR="00E65FE2" w14:paraId="631E0520" w14:textId="77777777" w:rsidTr="00FE0FA1">
        <w:tc>
          <w:tcPr>
            <w:tcW w:w="7105" w:type="dxa"/>
          </w:tcPr>
          <w:p w14:paraId="28216AA9" w14:textId="18F7CCE1" w:rsidR="00E65FE2" w:rsidRDefault="0014338B" w:rsidP="003B7E1B">
            <w:r>
              <w:t>Employee Expense Reports</w:t>
            </w:r>
          </w:p>
        </w:tc>
        <w:tc>
          <w:tcPr>
            <w:tcW w:w="2245" w:type="dxa"/>
          </w:tcPr>
          <w:p w14:paraId="25059B28" w14:textId="2C267388" w:rsidR="00E65FE2" w:rsidRDefault="0014338B" w:rsidP="003B7E1B">
            <w:r>
              <w:t>7 years</w:t>
            </w:r>
          </w:p>
        </w:tc>
      </w:tr>
      <w:tr w:rsidR="00E65FE2" w14:paraId="58980BCA" w14:textId="77777777" w:rsidTr="00FE0FA1">
        <w:tc>
          <w:tcPr>
            <w:tcW w:w="7105" w:type="dxa"/>
          </w:tcPr>
          <w:p w14:paraId="11B7944A" w14:textId="5A577DAF" w:rsidR="00E65FE2" w:rsidRDefault="0014338B" w:rsidP="003B7E1B">
            <w:r>
              <w:t>Interim Financial Statements</w:t>
            </w:r>
          </w:p>
        </w:tc>
        <w:tc>
          <w:tcPr>
            <w:tcW w:w="2245" w:type="dxa"/>
          </w:tcPr>
          <w:p w14:paraId="4AC0916E" w14:textId="30CE3A15" w:rsidR="00E65FE2" w:rsidRDefault="005F66E0" w:rsidP="003B7E1B">
            <w:r>
              <w:t>7 years</w:t>
            </w:r>
          </w:p>
        </w:tc>
      </w:tr>
      <w:tr w:rsidR="00E65FE2" w14:paraId="4A1209F0" w14:textId="77777777" w:rsidTr="00FE0FA1">
        <w:tc>
          <w:tcPr>
            <w:tcW w:w="7105" w:type="dxa"/>
          </w:tcPr>
          <w:p w14:paraId="5C0934A0" w14:textId="387C699D" w:rsidR="00E65FE2" w:rsidRDefault="005F66E0" w:rsidP="003B7E1B">
            <w:r>
              <w:t xml:space="preserve">Contracts and </w:t>
            </w:r>
            <w:r w:rsidR="00EC6BDC">
              <w:t xml:space="preserve">Related </w:t>
            </w:r>
            <w:r w:rsidR="00842B6D">
              <w:t>Correspondence</w:t>
            </w:r>
            <w:r w:rsidR="00EC6BDC">
              <w:t xml:space="preserve"> (including</w:t>
            </w:r>
            <w:r w:rsidR="00530094">
              <w:t xml:space="preserve"> any proposal that resulted in </w:t>
            </w:r>
            <w:r w:rsidR="004B2E49">
              <w:t>the contract and all other supportive documentation)</w:t>
            </w:r>
          </w:p>
        </w:tc>
        <w:tc>
          <w:tcPr>
            <w:tcW w:w="2245" w:type="dxa"/>
          </w:tcPr>
          <w:p w14:paraId="6834BBB5" w14:textId="7E3848D1" w:rsidR="00E65FE2" w:rsidRDefault="004B2E49" w:rsidP="003B7E1B">
            <w:r>
              <w:t xml:space="preserve">7 years after expiration </w:t>
            </w:r>
            <w:r w:rsidR="00433F5E">
              <w:t>or termination</w:t>
            </w:r>
          </w:p>
        </w:tc>
      </w:tr>
    </w:tbl>
    <w:p w14:paraId="5377963A" w14:textId="5D935095" w:rsidR="003B7E1B" w:rsidRDefault="003B7E1B" w:rsidP="003B7E1B"/>
    <w:p w14:paraId="7787545E" w14:textId="553DD21C" w:rsidR="00834107" w:rsidRDefault="00C646CE" w:rsidP="00C646CE">
      <w:pPr>
        <w:pStyle w:val="ListParagraph"/>
        <w:numPr>
          <w:ilvl w:val="0"/>
          <w:numId w:val="1"/>
        </w:numPr>
      </w:pPr>
      <w:r>
        <w:t>Corp</w:t>
      </w:r>
      <w:r w:rsidR="00272C5E">
        <w:t>orate Records</w:t>
      </w:r>
    </w:p>
    <w:tbl>
      <w:tblPr>
        <w:tblStyle w:val="TableGrid"/>
        <w:tblW w:w="0" w:type="auto"/>
        <w:tblLook w:val="04A0" w:firstRow="1" w:lastRow="0" w:firstColumn="1" w:lastColumn="0" w:noHBand="0" w:noVBand="1"/>
      </w:tblPr>
      <w:tblGrid>
        <w:gridCol w:w="4675"/>
        <w:gridCol w:w="4675"/>
      </w:tblGrid>
      <w:tr w:rsidR="00272C5E" w14:paraId="365CE76F" w14:textId="77777777" w:rsidTr="00272C5E">
        <w:tc>
          <w:tcPr>
            <w:tcW w:w="4675" w:type="dxa"/>
          </w:tcPr>
          <w:p w14:paraId="35AD78FB" w14:textId="191EEE98" w:rsidR="00272C5E" w:rsidRPr="00272C5E" w:rsidRDefault="00272C5E" w:rsidP="00272C5E">
            <w:pPr>
              <w:rPr>
                <w:b/>
                <w:bCs/>
              </w:rPr>
            </w:pPr>
            <w:r w:rsidRPr="00272C5E">
              <w:rPr>
                <w:b/>
                <w:bCs/>
              </w:rPr>
              <w:t>Record Type</w:t>
            </w:r>
          </w:p>
        </w:tc>
        <w:tc>
          <w:tcPr>
            <w:tcW w:w="4675" w:type="dxa"/>
          </w:tcPr>
          <w:p w14:paraId="5B06FE76" w14:textId="1A7F7B3E" w:rsidR="00272C5E" w:rsidRPr="00272C5E" w:rsidRDefault="00272C5E" w:rsidP="00272C5E">
            <w:pPr>
              <w:rPr>
                <w:b/>
                <w:bCs/>
              </w:rPr>
            </w:pPr>
            <w:r w:rsidRPr="00272C5E">
              <w:rPr>
                <w:b/>
                <w:bCs/>
              </w:rPr>
              <w:t>Retention Period</w:t>
            </w:r>
          </w:p>
        </w:tc>
      </w:tr>
      <w:tr w:rsidR="00272C5E" w14:paraId="0309100D" w14:textId="77777777" w:rsidTr="00272C5E">
        <w:tc>
          <w:tcPr>
            <w:tcW w:w="4675" w:type="dxa"/>
          </w:tcPr>
          <w:p w14:paraId="25275CC0" w14:textId="5AD36F9F" w:rsidR="00272C5E" w:rsidRDefault="001C0512" w:rsidP="00272C5E">
            <w:r>
              <w:t>Corporate Records (Minutes of the Trustees and all</w:t>
            </w:r>
            <w:r w:rsidR="007C4B36">
              <w:t xml:space="preserve"> committees, record of incorporation</w:t>
            </w:r>
            <w:r w:rsidR="000344B8">
              <w:t>, charity status, annual reports)</w:t>
            </w:r>
          </w:p>
        </w:tc>
        <w:tc>
          <w:tcPr>
            <w:tcW w:w="4675" w:type="dxa"/>
          </w:tcPr>
          <w:p w14:paraId="721DF9E7" w14:textId="52F32E91" w:rsidR="00272C5E" w:rsidRDefault="000344B8" w:rsidP="00272C5E">
            <w:r>
              <w:t>Permanent</w:t>
            </w:r>
          </w:p>
        </w:tc>
      </w:tr>
      <w:tr w:rsidR="00272C5E" w14:paraId="082BE5AE" w14:textId="77777777" w:rsidTr="00272C5E">
        <w:tc>
          <w:tcPr>
            <w:tcW w:w="4675" w:type="dxa"/>
          </w:tcPr>
          <w:p w14:paraId="0DB98364" w14:textId="0EDE4EA1" w:rsidR="00272C5E" w:rsidRDefault="00790AA2" w:rsidP="00272C5E">
            <w:r>
              <w:t xml:space="preserve">Licences and </w:t>
            </w:r>
            <w:proofErr w:type="gramStart"/>
            <w:r>
              <w:t>Permits</w:t>
            </w:r>
            <w:proofErr w:type="gramEnd"/>
          </w:p>
        </w:tc>
        <w:tc>
          <w:tcPr>
            <w:tcW w:w="4675" w:type="dxa"/>
          </w:tcPr>
          <w:p w14:paraId="20F23D71" w14:textId="5746A547" w:rsidR="00272C5E" w:rsidRDefault="00790AA2" w:rsidP="00272C5E">
            <w:r>
              <w:t>Permanent</w:t>
            </w:r>
          </w:p>
        </w:tc>
      </w:tr>
    </w:tbl>
    <w:p w14:paraId="3FB25C28" w14:textId="0C9EE065" w:rsidR="00272C5E" w:rsidRDefault="00272C5E" w:rsidP="00272C5E"/>
    <w:p w14:paraId="461346BA" w14:textId="1D5ED0EE" w:rsidR="003E0D65" w:rsidRPr="00B300B4" w:rsidRDefault="003E0D65" w:rsidP="003E0D65">
      <w:pPr>
        <w:pStyle w:val="ListParagraph"/>
        <w:numPr>
          <w:ilvl w:val="0"/>
          <w:numId w:val="1"/>
        </w:numPr>
        <w:rPr>
          <w:b/>
          <w:bCs/>
        </w:rPr>
      </w:pPr>
      <w:r w:rsidRPr="00B300B4">
        <w:rPr>
          <w:b/>
          <w:bCs/>
        </w:rPr>
        <w:t xml:space="preserve">Personal </w:t>
      </w:r>
      <w:r w:rsidR="00F35B0B" w:rsidRPr="00B300B4">
        <w:rPr>
          <w:b/>
          <w:bCs/>
        </w:rPr>
        <w:t>Information</w:t>
      </w:r>
    </w:p>
    <w:p w14:paraId="5981F1AF" w14:textId="6B28663B" w:rsidR="00BC7AF7" w:rsidRDefault="00BC7AF7" w:rsidP="00BC7AF7">
      <w:pPr>
        <w:pStyle w:val="ListParagraph"/>
        <w:numPr>
          <w:ilvl w:val="1"/>
          <w:numId w:val="1"/>
        </w:numPr>
      </w:pPr>
      <w:r>
        <w:t xml:space="preserve">This Section </w:t>
      </w:r>
      <w:r w:rsidR="00C65769">
        <w:t>sets</w:t>
      </w:r>
      <w:r>
        <w:t xml:space="preserve"> out the data retention policies and pro</w:t>
      </w:r>
      <w:r w:rsidR="00757097">
        <w:t>cedure of WVFB</w:t>
      </w:r>
      <w:r w:rsidR="00C65769">
        <w:t xml:space="preserve">, which are designed to help ensure </w:t>
      </w:r>
      <w:r w:rsidR="00467ACB">
        <w:t xml:space="preserve">compliance with legal obligations in relation to the retention </w:t>
      </w:r>
      <w:r w:rsidR="00762966">
        <w:t>and deletion of personal information.</w:t>
      </w:r>
    </w:p>
    <w:p w14:paraId="07E6E497" w14:textId="345319E7" w:rsidR="00762966" w:rsidRDefault="008A6E9A" w:rsidP="00BC7AF7">
      <w:pPr>
        <w:pStyle w:val="ListParagraph"/>
        <w:numPr>
          <w:ilvl w:val="1"/>
          <w:numId w:val="1"/>
        </w:numPr>
      </w:pPr>
      <w:r>
        <w:t>Personal information that is processed by WVFB for any purpose</w:t>
      </w:r>
      <w:r w:rsidR="00597058">
        <w:t xml:space="preserve"> or purposes shall not be kept for longer than is necessary for that purpose or those purposes.</w:t>
      </w:r>
    </w:p>
    <w:p w14:paraId="73157D52" w14:textId="0300D648" w:rsidR="00B300B4" w:rsidRDefault="00946BA2" w:rsidP="00B300B4">
      <w:pPr>
        <w:ind w:left="360"/>
      </w:pPr>
      <w:r>
        <w:t>Without prejudice to point</w:t>
      </w:r>
      <w:r w:rsidR="007F7C6A">
        <w:t xml:space="preserve"> 2 (above) WVFB will usually delete personal data falling within the categ</w:t>
      </w:r>
      <w:r w:rsidR="00A47D15">
        <w:t>ories set out below at the date/time set out below:</w:t>
      </w:r>
    </w:p>
    <w:tbl>
      <w:tblPr>
        <w:tblStyle w:val="TableGrid"/>
        <w:tblW w:w="0" w:type="auto"/>
        <w:tblInd w:w="360" w:type="dxa"/>
        <w:tblLook w:val="04A0" w:firstRow="1" w:lastRow="0" w:firstColumn="1" w:lastColumn="0" w:noHBand="0" w:noVBand="1"/>
      </w:tblPr>
      <w:tblGrid>
        <w:gridCol w:w="2425"/>
        <w:gridCol w:w="6565"/>
      </w:tblGrid>
      <w:tr w:rsidR="000D0EE0" w14:paraId="55E83750" w14:textId="77777777" w:rsidTr="000D0EE0">
        <w:tc>
          <w:tcPr>
            <w:tcW w:w="2425" w:type="dxa"/>
          </w:tcPr>
          <w:p w14:paraId="3E65CFF1" w14:textId="0A544C96" w:rsidR="000D0EE0" w:rsidRPr="007E0999" w:rsidRDefault="000D0EE0" w:rsidP="00B300B4">
            <w:pPr>
              <w:rPr>
                <w:b/>
                <w:bCs/>
              </w:rPr>
            </w:pPr>
            <w:r w:rsidRPr="007E0999">
              <w:rPr>
                <w:b/>
                <w:bCs/>
              </w:rPr>
              <w:t>Data Subject</w:t>
            </w:r>
          </w:p>
        </w:tc>
        <w:tc>
          <w:tcPr>
            <w:tcW w:w="6565" w:type="dxa"/>
          </w:tcPr>
          <w:p w14:paraId="62E7139C" w14:textId="151AFE1F" w:rsidR="000D0EE0" w:rsidRPr="007E0999" w:rsidRDefault="004E7955" w:rsidP="00B300B4">
            <w:pPr>
              <w:rPr>
                <w:b/>
                <w:bCs/>
              </w:rPr>
            </w:pPr>
            <w:r w:rsidRPr="007E0999">
              <w:rPr>
                <w:b/>
                <w:bCs/>
              </w:rPr>
              <w:t>Retention Period</w:t>
            </w:r>
          </w:p>
        </w:tc>
      </w:tr>
      <w:tr w:rsidR="000D0EE0" w14:paraId="609C6629" w14:textId="77777777" w:rsidTr="000D0EE0">
        <w:tc>
          <w:tcPr>
            <w:tcW w:w="2425" w:type="dxa"/>
          </w:tcPr>
          <w:p w14:paraId="489EEAA1" w14:textId="1D064815" w:rsidR="000D0EE0" w:rsidRDefault="004E7955" w:rsidP="00B300B4">
            <w:r>
              <w:t>Client Referral Forms</w:t>
            </w:r>
          </w:p>
        </w:tc>
        <w:tc>
          <w:tcPr>
            <w:tcW w:w="6565" w:type="dxa"/>
          </w:tcPr>
          <w:p w14:paraId="139BF1EA" w14:textId="5EA2D4D1" w:rsidR="000D0EE0" w:rsidRDefault="002101C7" w:rsidP="00B300B4">
            <w:r>
              <w:t>Personal information is stored in a secure database for 2 years</w:t>
            </w:r>
            <w:r w:rsidR="00441413">
              <w:t>. Paper forms should be shredded after 2 years and not retained for more than 3 years.</w:t>
            </w:r>
          </w:p>
        </w:tc>
      </w:tr>
      <w:tr w:rsidR="000D0EE0" w14:paraId="605E2B0F" w14:textId="77777777" w:rsidTr="000D0EE0">
        <w:tc>
          <w:tcPr>
            <w:tcW w:w="2425" w:type="dxa"/>
          </w:tcPr>
          <w:p w14:paraId="6B083006" w14:textId="503C04DA" w:rsidR="000D0EE0" w:rsidRDefault="005F3E96" w:rsidP="00B300B4">
            <w:r>
              <w:t>Compla</w:t>
            </w:r>
            <w:r w:rsidR="009A5326">
              <w:t>inants</w:t>
            </w:r>
          </w:p>
        </w:tc>
        <w:tc>
          <w:tcPr>
            <w:tcW w:w="6565" w:type="dxa"/>
          </w:tcPr>
          <w:p w14:paraId="34273D0F" w14:textId="7D2ECD57" w:rsidR="000D0EE0" w:rsidRDefault="009A5326" w:rsidP="00B300B4">
            <w:r>
              <w:t xml:space="preserve">Complaints and subsequent correspondence and reports, are </w:t>
            </w:r>
            <w:r w:rsidR="004209CF">
              <w:t xml:space="preserve">stored on hard copy in a locked </w:t>
            </w:r>
            <w:r w:rsidR="00550F3F">
              <w:t>filing</w:t>
            </w:r>
            <w:r w:rsidR="004209CF">
              <w:t xml:space="preserve"> cabinet and in </w:t>
            </w:r>
            <w:r w:rsidR="00550F3F">
              <w:t xml:space="preserve">a secure </w:t>
            </w:r>
            <w:r w:rsidR="00B3612E">
              <w:t>cloud-based</w:t>
            </w:r>
            <w:r w:rsidR="00550F3F">
              <w:t xml:space="preserve"> storage system for </w:t>
            </w:r>
            <w:r w:rsidR="00270145">
              <w:t>2 years.</w:t>
            </w:r>
          </w:p>
        </w:tc>
      </w:tr>
      <w:tr w:rsidR="000D0EE0" w14:paraId="7863382F" w14:textId="77777777" w:rsidTr="000D0EE0">
        <w:tc>
          <w:tcPr>
            <w:tcW w:w="2425" w:type="dxa"/>
          </w:tcPr>
          <w:p w14:paraId="17A6CAA6" w14:textId="051FACA2" w:rsidR="000D0EE0" w:rsidRDefault="002E1DAA" w:rsidP="00B300B4">
            <w:r>
              <w:lastRenderedPageBreak/>
              <w:t>Employees</w:t>
            </w:r>
          </w:p>
        </w:tc>
        <w:tc>
          <w:tcPr>
            <w:tcW w:w="6565" w:type="dxa"/>
          </w:tcPr>
          <w:p w14:paraId="7F290CA0" w14:textId="527C025C" w:rsidR="000D0EE0" w:rsidRDefault="002E1DAA" w:rsidP="00B300B4">
            <w:r>
              <w:t>Personal and employment records</w:t>
            </w:r>
            <w:r w:rsidR="00B3612E">
              <w:t xml:space="preserve"> (including indi</w:t>
            </w:r>
            <w:r w:rsidR="00AC1F44">
              <w:t xml:space="preserve">vidual attendance records, application </w:t>
            </w:r>
            <w:r w:rsidR="00B82EE7">
              <w:t>forms,</w:t>
            </w:r>
            <w:r w:rsidR="00AC1F44">
              <w:t xml:space="preserve"> contracts, job</w:t>
            </w:r>
            <w:r w:rsidR="008F5AB8">
              <w:t xml:space="preserve"> or status change records, performance evaluations, termination papers, </w:t>
            </w:r>
            <w:proofErr w:type="gramStart"/>
            <w:r w:rsidR="008F5AB8">
              <w:t>training</w:t>
            </w:r>
            <w:proofErr w:type="gramEnd"/>
            <w:r w:rsidR="008F5AB8">
              <w:t xml:space="preserve"> and </w:t>
            </w:r>
            <w:r w:rsidR="00A50BB2">
              <w:t>qualification records) are stored on hard copy in a locked filing cabinet</w:t>
            </w:r>
            <w:r w:rsidR="00E53F42">
              <w:t xml:space="preserve"> and/or in a secure cloud-based system for 1 year </w:t>
            </w:r>
            <w:r w:rsidR="00B24D7A">
              <w:t>after employment ceases.</w:t>
            </w:r>
          </w:p>
          <w:p w14:paraId="1967086C" w14:textId="6D2B23A1" w:rsidR="002C4B68" w:rsidRDefault="002C4B68" w:rsidP="00B300B4">
            <w:r>
              <w:t xml:space="preserve">Financial records – including PAYE </w:t>
            </w:r>
            <w:r w:rsidR="00892F1C">
              <w:t>and workplace pension – will be kept for seven years after</w:t>
            </w:r>
            <w:r w:rsidR="001F257E">
              <w:t xml:space="preserve"> employment has ceased.</w:t>
            </w:r>
          </w:p>
          <w:p w14:paraId="2B02D957" w14:textId="7C93DB6B" w:rsidR="001F257E" w:rsidRDefault="001F257E" w:rsidP="00B300B4">
            <w:r>
              <w:t>Records of any grievance, dispute or accusation may be kept for up to six years.</w:t>
            </w:r>
          </w:p>
          <w:p w14:paraId="74B900DE" w14:textId="19FFA351" w:rsidR="00B24D7A" w:rsidRDefault="00B24D7A" w:rsidP="00B300B4"/>
        </w:tc>
      </w:tr>
      <w:tr w:rsidR="000D0EE0" w14:paraId="64C4A53E" w14:textId="77777777" w:rsidTr="000D0EE0">
        <w:tc>
          <w:tcPr>
            <w:tcW w:w="2425" w:type="dxa"/>
          </w:tcPr>
          <w:p w14:paraId="116F66E0" w14:textId="3BC48B51" w:rsidR="000D0EE0" w:rsidRDefault="006A557B" w:rsidP="00B300B4">
            <w:r>
              <w:t>Employee Applicants</w:t>
            </w:r>
          </w:p>
        </w:tc>
        <w:tc>
          <w:tcPr>
            <w:tcW w:w="6565" w:type="dxa"/>
          </w:tcPr>
          <w:p w14:paraId="79CA6654" w14:textId="0572792A" w:rsidR="000D0EE0" w:rsidRDefault="00C814D2" w:rsidP="00B300B4">
            <w:r>
              <w:t xml:space="preserve">Failed employee application </w:t>
            </w:r>
            <w:r w:rsidR="000A416D">
              <w:t>information, correspondence with Employment Agencies: 3 years from date of hiring decision</w:t>
            </w:r>
            <w:r w:rsidR="00E0535B">
              <w:t>.</w:t>
            </w:r>
          </w:p>
        </w:tc>
      </w:tr>
      <w:tr w:rsidR="000D0EE0" w14:paraId="45FF3865" w14:textId="77777777" w:rsidTr="000D0EE0">
        <w:tc>
          <w:tcPr>
            <w:tcW w:w="2425" w:type="dxa"/>
          </w:tcPr>
          <w:p w14:paraId="670417C2" w14:textId="5F50A12D" w:rsidR="000D0EE0" w:rsidRDefault="00460365" w:rsidP="00B300B4">
            <w:r>
              <w:t>Financial Donors</w:t>
            </w:r>
          </w:p>
        </w:tc>
        <w:tc>
          <w:tcPr>
            <w:tcW w:w="6565" w:type="dxa"/>
          </w:tcPr>
          <w:p w14:paraId="23105E52" w14:textId="303B5C62" w:rsidR="000D0EE0" w:rsidRDefault="00275830" w:rsidP="00B300B4">
            <w:r>
              <w:t>Personal information and financial records are stored on hard copy in a locked filing cabinet and/or in a secure cloud-based storage system for 7 years. Any cancelled Standing Order or Direct Debit information will be deleted when we are notified of the cancellation.</w:t>
            </w:r>
          </w:p>
        </w:tc>
      </w:tr>
      <w:tr w:rsidR="000D0EE0" w14:paraId="6AD2652E" w14:textId="77777777" w:rsidTr="000D0EE0">
        <w:tc>
          <w:tcPr>
            <w:tcW w:w="2425" w:type="dxa"/>
          </w:tcPr>
          <w:p w14:paraId="6B2354E7" w14:textId="547488F6" w:rsidR="000D0EE0" w:rsidRDefault="0090088B" w:rsidP="00B300B4">
            <w:r>
              <w:t xml:space="preserve">Food Donors </w:t>
            </w:r>
          </w:p>
        </w:tc>
        <w:tc>
          <w:tcPr>
            <w:tcW w:w="6565" w:type="dxa"/>
          </w:tcPr>
          <w:p w14:paraId="457D166E" w14:textId="15B72EB8" w:rsidR="000D0EE0" w:rsidRDefault="0090088B" w:rsidP="00B300B4">
            <w:r>
              <w:t>Where individual Food Donor provide personal information alongside their food donation, personal food donor information is stored on hard copy in a locked filing cabinet and/or in a secure cloud-based storage system for 3 years.</w:t>
            </w:r>
          </w:p>
        </w:tc>
      </w:tr>
      <w:tr w:rsidR="0026688C" w14:paraId="62C3A4DD" w14:textId="77777777" w:rsidTr="000D0EE0">
        <w:tc>
          <w:tcPr>
            <w:tcW w:w="2425" w:type="dxa"/>
          </w:tcPr>
          <w:p w14:paraId="00D03C6C" w14:textId="45713D44" w:rsidR="0026688C" w:rsidRDefault="0026688C" w:rsidP="0026688C">
            <w:r w:rsidRPr="00B42D10">
              <w:t xml:space="preserve">Representatives of referral agency partners </w:t>
            </w:r>
          </w:p>
        </w:tc>
        <w:tc>
          <w:tcPr>
            <w:tcW w:w="6565" w:type="dxa"/>
          </w:tcPr>
          <w:p w14:paraId="4FAAB3E1" w14:textId="1D1D2F4A" w:rsidR="0026688C" w:rsidRDefault="0026688C" w:rsidP="0026688C">
            <w:r w:rsidRPr="00B42D10">
              <w:t xml:space="preserve">Representatives of referral agency partners Contact information is stored on hard copy in a locked filing cabinet and/or in a secure database. If a </w:t>
            </w:r>
            <w:r w:rsidR="00040499" w:rsidRPr="00B42D10">
              <w:t>partner stop</w:t>
            </w:r>
            <w:r w:rsidRPr="00B42D10">
              <w:t xml:space="preserve"> being a referral agency, W</w:t>
            </w:r>
            <w:r w:rsidR="009900BB">
              <w:t>V</w:t>
            </w:r>
            <w:r w:rsidRPr="00B42D10">
              <w:t>FB will destroy the application form and any other signatories’ forms. W</w:t>
            </w:r>
            <w:r w:rsidR="00015DD6">
              <w:t>V</w:t>
            </w:r>
            <w:r w:rsidRPr="00B42D10">
              <w:t xml:space="preserve">FB will also delete the agency from the online data system as an active referral agency. Referral agency information on vouchers will be kept in a secure database for </w:t>
            </w:r>
            <w:r w:rsidR="00015DD6">
              <w:t>two</w:t>
            </w:r>
            <w:r w:rsidRPr="00B42D10">
              <w:t xml:space="preserve"> years. </w:t>
            </w:r>
          </w:p>
        </w:tc>
      </w:tr>
      <w:tr w:rsidR="00855D90" w14:paraId="72BA3040" w14:textId="77777777" w:rsidTr="000D0EE0">
        <w:tc>
          <w:tcPr>
            <w:tcW w:w="2425" w:type="dxa"/>
          </w:tcPr>
          <w:p w14:paraId="654918BB" w14:textId="566E5825" w:rsidR="00855D90" w:rsidRDefault="00F83563" w:rsidP="00B300B4">
            <w:r>
              <w:t xml:space="preserve">Social Media subjects </w:t>
            </w:r>
          </w:p>
        </w:tc>
        <w:tc>
          <w:tcPr>
            <w:tcW w:w="6565" w:type="dxa"/>
          </w:tcPr>
          <w:p w14:paraId="4046AF27" w14:textId="62385EDA" w:rsidR="00855D90" w:rsidRDefault="00F83563" w:rsidP="00B300B4">
            <w:r>
              <w:t>Information posted to our website, and other social media, for publication on the internet is retained for up to 5 years after post.</w:t>
            </w:r>
          </w:p>
        </w:tc>
      </w:tr>
      <w:tr w:rsidR="00855D90" w14:paraId="4EC4E344" w14:textId="77777777" w:rsidTr="000D0EE0">
        <w:tc>
          <w:tcPr>
            <w:tcW w:w="2425" w:type="dxa"/>
          </w:tcPr>
          <w:p w14:paraId="5C807A9A" w14:textId="60FF29FE" w:rsidR="00855D90" w:rsidRDefault="00C11611" w:rsidP="00B300B4">
            <w:r>
              <w:t xml:space="preserve">Subjects of safeguarding concerns </w:t>
            </w:r>
          </w:p>
        </w:tc>
        <w:tc>
          <w:tcPr>
            <w:tcW w:w="6565" w:type="dxa"/>
          </w:tcPr>
          <w:p w14:paraId="47EC494D" w14:textId="37FAF015" w:rsidR="00855D90" w:rsidRDefault="00C11611" w:rsidP="00B300B4">
            <w:r>
              <w:t>Information regarding safeguarding concerns is stored on hard copy in locked filing cabinets and in a secure database for 6 years if the safeguarding concern is upheld, 3 years if the concern is not upheld.</w:t>
            </w:r>
          </w:p>
        </w:tc>
      </w:tr>
      <w:tr w:rsidR="00855D90" w14:paraId="0F20CEA8" w14:textId="77777777" w:rsidTr="000D0EE0">
        <w:tc>
          <w:tcPr>
            <w:tcW w:w="2425" w:type="dxa"/>
          </w:tcPr>
          <w:p w14:paraId="5C46F91A" w14:textId="56452E5D" w:rsidR="00855D90" w:rsidRDefault="00F24BFD" w:rsidP="00B300B4">
            <w:r>
              <w:t xml:space="preserve">Survey and research participants </w:t>
            </w:r>
          </w:p>
        </w:tc>
        <w:tc>
          <w:tcPr>
            <w:tcW w:w="6565" w:type="dxa"/>
          </w:tcPr>
          <w:p w14:paraId="29CF41EC" w14:textId="3710823F" w:rsidR="00855D90" w:rsidRDefault="00F24BFD" w:rsidP="00B300B4">
            <w:r>
              <w:t>Survey and research data is stored in a secure cloud-based storage system for 12 months after survey is completed; then results are anonymised and retained for as long as deemed necessary; possibly permanently if deemed to be of historic significance.</w:t>
            </w:r>
          </w:p>
        </w:tc>
      </w:tr>
      <w:tr w:rsidR="00855D90" w14:paraId="375E46B8" w14:textId="77777777" w:rsidTr="000D0EE0">
        <w:tc>
          <w:tcPr>
            <w:tcW w:w="2425" w:type="dxa"/>
          </w:tcPr>
          <w:p w14:paraId="48064684" w14:textId="6EE1A73D" w:rsidR="00855D90" w:rsidRDefault="00826422" w:rsidP="00B300B4">
            <w:r>
              <w:t xml:space="preserve">Trustees </w:t>
            </w:r>
          </w:p>
        </w:tc>
        <w:tc>
          <w:tcPr>
            <w:tcW w:w="6565" w:type="dxa"/>
          </w:tcPr>
          <w:p w14:paraId="33CC156A" w14:textId="61D9B98E" w:rsidR="00855D90" w:rsidRDefault="00C21464" w:rsidP="00B300B4">
            <w:r>
              <w:t>Personal information about Trustees is stored on hard copy in a locked filing cabinet and in a secure cloud-based storage system for 7 years after Board membership ceases.</w:t>
            </w:r>
          </w:p>
        </w:tc>
      </w:tr>
      <w:tr w:rsidR="00855D90" w14:paraId="1436ADFA" w14:textId="77777777" w:rsidTr="000D0EE0">
        <w:tc>
          <w:tcPr>
            <w:tcW w:w="2425" w:type="dxa"/>
          </w:tcPr>
          <w:p w14:paraId="6498C2A6" w14:textId="04B3222B" w:rsidR="00855D90" w:rsidRDefault="007A0CAA" w:rsidP="00B300B4">
            <w:r>
              <w:t xml:space="preserve">Volunteer </w:t>
            </w:r>
            <w:r w:rsidR="009D4B36">
              <w:t>Applicants</w:t>
            </w:r>
          </w:p>
        </w:tc>
        <w:tc>
          <w:tcPr>
            <w:tcW w:w="6565" w:type="dxa"/>
          </w:tcPr>
          <w:p w14:paraId="53703F3B" w14:textId="4FA193E2" w:rsidR="00855D90" w:rsidRDefault="007A0CAA" w:rsidP="00B300B4">
            <w:r>
              <w:t>If an application is unsuccessful, personal information will be held on hard copy in a locked filing cabinet and in a secure database for 6 months from date of application.</w:t>
            </w:r>
          </w:p>
        </w:tc>
      </w:tr>
      <w:tr w:rsidR="000D0EE0" w14:paraId="68E67563" w14:textId="77777777" w:rsidTr="000D0EE0">
        <w:tc>
          <w:tcPr>
            <w:tcW w:w="2425" w:type="dxa"/>
          </w:tcPr>
          <w:p w14:paraId="24809325" w14:textId="6806C0B1" w:rsidR="000D0EE0" w:rsidRDefault="00BA5CFD" w:rsidP="00B300B4">
            <w:r>
              <w:t xml:space="preserve">Volunteers </w:t>
            </w:r>
          </w:p>
        </w:tc>
        <w:tc>
          <w:tcPr>
            <w:tcW w:w="6565" w:type="dxa"/>
          </w:tcPr>
          <w:p w14:paraId="7399A89D" w14:textId="661B3D5C" w:rsidR="000D0EE0" w:rsidRDefault="00BA5CFD" w:rsidP="00B300B4">
            <w:r>
              <w:t>Volunteer information will be held on hard copy in a locked filing cabinet and in a secure database for 2 years from date they stop volunteering.</w:t>
            </w:r>
          </w:p>
        </w:tc>
      </w:tr>
    </w:tbl>
    <w:p w14:paraId="74D36F1F" w14:textId="77777777" w:rsidR="00BE75EF" w:rsidRDefault="00BE75EF" w:rsidP="00B300B4">
      <w:pPr>
        <w:ind w:left="360"/>
      </w:pPr>
    </w:p>
    <w:p w14:paraId="2A7D3AAE" w14:textId="77777777" w:rsidR="00BE75EF" w:rsidRDefault="00BE75EF" w:rsidP="00B300B4">
      <w:pPr>
        <w:ind w:left="360"/>
      </w:pPr>
      <w:r>
        <w:lastRenderedPageBreak/>
        <w:t xml:space="preserve">Notwithstanding the other provisions of this Section, WVFB will retain documents (including electronic documents) containing personal data: </w:t>
      </w:r>
    </w:p>
    <w:p w14:paraId="7FB4F586" w14:textId="08D6B005" w:rsidR="00BE75EF" w:rsidRDefault="00BE75EF" w:rsidP="00B300B4">
      <w:pPr>
        <w:ind w:left="360"/>
      </w:pPr>
      <w:r>
        <w:t xml:space="preserve">a. to the extent that WVFB is required to do so by </w:t>
      </w:r>
      <w:r w:rsidR="006E2FEF">
        <w:t>law.</w:t>
      </w:r>
    </w:p>
    <w:p w14:paraId="6477CAFE" w14:textId="3056207C" w:rsidR="006E2FEF" w:rsidRDefault="00BE75EF" w:rsidP="00B300B4">
      <w:pPr>
        <w:ind w:left="360"/>
      </w:pPr>
      <w:r>
        <w:t xml:space="preserve"> b. if W</w:t>
      </w:r>
      <w:r w:rsidR="006E2FEF">
        <w:t>V</w:t>
      </w:r>
      <w:r>
        <w:t xml:space="preserve">FB believes that the documents may be relevant to any ongoing or prospective legal </w:t>
      </w:r>
      <w:r w:rsidR="006E2FEF">
        <w:t>proceedings.</w:t>
      </w:r>
    </w:p>
    <w:p w14:paraId="65C6A777" w14:textId="77777777" w:rsidR="006E2FEF" w:rsidRDefault="00BE75EF" w:rsidP="00B300B4">
      <w:pPr>
        <w:ind w:left="360"/>
      </w:pPr>
      <w:r>
        <w:t xml:space="preserve"> c. and to establish, exercise or defend W</w:t>
      </w:r>
      <w:r w:rsidR="006E2FEF">
        <w:t>V</w:t>
      </w:r>
      <w:r>
        <w:t xml:space="preserve">FB’s legal rights (including providing information to others for the purposes of fraud prevention and reducing credit risk). </w:t>
      </w:r>
    </w:p>
    <w:p w14:paraId="5229430D" w14:textId="10569CB6" w:rsidR="00D55DF0" w:rsidRDefault="00BE75EF" w:rsidP="00B300B4">
      <w:pPr>
        <w:ind w:left="360"/>
      </w:pPr>
      <w:r>
        <w:t>d. if explicit consent is given by the data subject.</w:t>
      </w:r>
    </w:p>
    <w:p w14:paraId="77D1ECF9" w14:textId="77777777" w:rsidR="00625B36" w:rsidRPr="00625B36" w:rsidRDefault="00DC669A" w:rsidP="00B300B4">
      <w:pPr>
        <w:ind w:left="360"/>
        <w:rPr>
          <w:b/>
          <w:bCs/>
        </w:rPr>
      </w:pPr>
      <w:r w:rsidRPr="00625B36">
        <w:rPr>
          <w:b/>
          <w:bCs/>
        </w:rPr>
        <w:t>4. Correspondence and Internal Memoranda General Principle:</w:t>
      </w:r>
    </w:p>
    <w:p w14:paraId="2FFF23EE" w14:textId="77777777" w:rsidR="00733F4D" w:rsidRDefault="00DC669A" w:rsidP="00B300B4">
      <w:pPr>
        <w:ind w:left="360"/>
      </w:pPr>
      <w:r>
        <w:t xml:space="preserve"> Most correspondence and internal memoranda should be retained for the same period as the document to which they pertain or support. For instance, a letter pertaining to a particular contract would be retained </w:t>
      </w:r>
      <w:proofErr w:type="gramStart"/>
      <w:r>
        <w:t>as long as</w:t>
      </w:r>
      <w:proofErr w:type="gramEnd"/>
      <w:r>
        <w:t xml:space="preserve"> the contract (7 years after expiration). It is recommended that records that support a particular project be kept with the project and take on the retention time of that </w:t>
      </w:r>
      <w:proofErr w:type="gramStart"/>
      <w:r>
        <w:t>particular project</w:t>
      </w:r>
      <w:proofErr w:type="gramEnd"/>
      <w:r>
        <w:t xml:space="preserve"> file.</w:t>
      </w:r>
    </w:p>
    <w:p w14:paraId="56A25FDA" w14:textId="77777777" w:rsidR="00733F4D" w:rsidRDefault="00DC669A" w:rsidP="00B300B4">
      <w:pPr>
        <w:ind w:left="360"/>
      </w:pPr>
      <w:r>
        <w:t xml:space="preserve"> Correspondence or memoranda that do not pertain to documents having a prescribed retention period should generally be discarded sooner. These may be divided into two general categories: </w:t>
      </w:r>
    </w:p>
    <w:p w14:paraId="06702ADB" w14:textId="1828BB0C" w:rsidR="00733F4D" w:rsidRDefault="00DC669A" w:rsidP="00733F4D">
      <w:pPr>
        <w:pStyle w:val="ListParagraph"/>
        <w:numPr>
          <w:ilvl w:val="0"/>
          <w:numId w:val="2"/>
        </w:numPr>
      </w:pPr>
      <w:r>
        <w:t>Those pertaining to routine matters and having no significant, lasting consequences should be discarded within three years. Some examples include:</w:t>
      </w:r>
    </w:p>
    <w:p w14:paraId="68838B24" w14:textId="04E5FA1B" w:rsidR="00733F4D" w:rsidRDefault="00DC669A" w:rsidP="005E7F46">
      <w:pPr>
        <w:pStyle w:val="ListParagraph"/>
        <w:numPr>
          <w:ilvl w:val="0"/>
          <w:numId w:val="4"/>
        </w:numPr>
      </w:pPr>
      <w:r>
        <w:t xml:space="preserve">Routine letters and notes that require no acknowledgment or follow up, such as notes of appreciation, congratulations, letters of </w:t>
      </w:r>
      <w:r w:rsidR="00916291">
        <w:t>transmittal,</w:t>
      </w:r>
      <w:r>
        <w:t xml:space="preserve"> and plans for meetings.</w:t>
      </w:r>
    </w:p>
    <w:p w14:paraId="19EF3786" w14:textId="1F044D4C" w:rsidR="00D22248" w:rsidRDefault="00DC669A" w:rsidP="005E7F46">
      <w:pPr>
        <w:pStyle w:val="ListParagraph"/>
        <w:numPr>
          <w:ilvl w:val="0"/>
          <w:numId w:val="4"/>
        </w:numPr>
      </w:pPr>
      <w:r>
        <w:t>Form letters that require no follow up.</w:t>
      </w:r>
    </w:p>
    <w:p w14:paraId="559161C5" w14:textId="48E6C13B" w:rsidR="00D22248" w:rsidRDefault="00DC669A" w:rsidP="005E7F46">
      <w:pPr>
        <w:pStyle w:val="ListParagraph"/>
        <w:numPr>
          <w:ilvl w:val="0"/>
          <w:numId w:val="4"/>
        </w:numPr>
      </w:pPr>
      <w:r>
        <w:t>Letters of general inquiry and replies that complete a cycle of correspondence</w:t>
      </w:r>
    </w:p>
    <w:p w14:paraId="76DD0FD9" w14:textId="014BCEE7" w:rsidR="00D22248" w:rsidRDefault="00DC669A" w:rsidP="005E7F46">
      <w:pPr>
        <w:pStyle w:val="ListParagraph"/>
        <w:numPr>
          <w:ilvl w:val="0"/>
          <w:numId w:val="4"/>
        </w:numPr>
      </w:pPr>
      <w:r>
        <w:t xml:space="preserve">Letters or complaints requesting specific action that have no further value after changes are made or action taken (such as name or address change). </w:t>
      </w:r>
    </w:p>
    <w:p w14:paraId="6BAD99EF" w14:textId="77777777" w:rsidR="00916291" w:rsidRDefault="00916291" w:rsidP="00A30F38">
      <w:pPr>
        <w:pStyle w:val="ListParagraph"/>
        <w:ind w:left="1440"/>
      </w:pPr>
    </w:p>
    <w:p w14:paraId="7A83C3D7" w14:textId="1059588F" w:rsidR="00D22248" w:rsidRDefault="00DC669A" w:rsidP="005E7F46">
      <w:pPr>
        <w:pStyle w:val="ListParagraph"/>
        <w:numPr>
          <w:ilvl w:val="0"/>
          <w:numId w:val="4"/>
        </w:numPr>
      </w:pPr>
      <w:r>
        <w:t xml:space="preserve">Other letters of inconsequential subject matter or that </w:t>
      </w:r>
      <w:proofErr w:type="gramStart"/>
      <w:r>
        <w:t>definitely close</w:t>
      </w:r>
      <w:proofErr w:type="gramEnd"/>
      <w:r>
        <w:t xml:space="preserve"> correspondence to which no further reference will be necessary. </w:t>
      </w:r>
    </w:p>
    <w:p w14:paraId="15967D5D" w14:textId="77777777" w:rsidR="00916291" w:rsidRDefault="00916291" w:rsidP="00A30F38">
      <w:pPr>
        <w:pStyle w:val="ListParagraph"/>
        <w:ind w:left="1440"/>
      </w:pPr>
    </w:p>
    <w:p w14:paraId="2327BF24" w14:textId="5A6C61C3" w:rsidR="00D22248" w:rsidRDefault="00DC669A" w:rsidP="005E7F46">
      <w:pPr>
        <w:pStyle w:val="ListParagraph"/>
        <w:numPr>
          <w:ilvl w:val="0"/>
          <w:numId w:val="4"/>
        </w:numPr>
      </w:pPr>
      <w:r>
        <w:t xml:space="preserve">Chronological correspondence files. </w:t>
      </w:r>
    </w:p>
    <w:p w14:paraId="486958FC" w14:textId="77777777" w:rsidR="00D730BD" w:rsidRDefault="00D730BD" w:rsidP="00D730BD"/>
    <w:p w14:paraId="6A1A2143" w14:textId="75C0ADE3" w:rsidR="005A5CF3" w:rsidRDefault="00D730BD" w:rsidP="005A5CF3">
      <w:pPr>
        <w:pStyle w:val="ListParagraph"/>
        <w:numPr>
          <w:ilvl w:val="0"/>
          <w:numId w:val="2"/>
        </w:numPr>
      </w:pPr>
      <w:r>
        <w:t>Those pertaining to non-routine matters or having significant lasting consequences should generally be retained permanently.</w:t>
      </w:r>
    </w:p>
    <w:p w14:paraId="6B27C985" w14:textId="77777777" w:rsidR="003E7DF2" w:rsidRDefault="003E7DF2" w:rsidP="00A01F4F">
      <w:pPr>
        <w:ind w:left="360"/>
      </w:pPr>
    </w:p>
    <w:p w14:paraId="4EA03E91" w14:textId="05A0F00F" w:rsidR="00A01F4F" w:rsidRPr="00CB1813" w:rsidRDefault="003E7DF2" w:rsidP="00CB1813">
      <w:pPr>
        <w:pStyle w:val="ListParagraph"/>
        <w:numPr>
          <w:ilvl w:val="0"/>
          <w:numId w:val="5"/>
        </w:numPr>
        <w:rPr>
          <w:b/>
          <w:bCs/>
        </w:rPr>
      </w:pPr>
      <w:r w:rsidRPr="00CB1813">
        <w:rPr>
          <w:b/>
          <w:bCs/>
        </w:rPr>
        <w:t>Electronic Mail and Other Electronic Documents</w:t>
      </w:r>
    </w:p>
    <w:p w14:paraId="07B5D9CE" w14:textId="68CAA39E" w:rsidR="00A01F4F" w:rsidRPr="00A01F4F" w:rsidRDefault="00A01F4F" w:rsidP="00CB1813">
      <w:pPr>
        <w:pStyle w:val="ListParagraph"/>
        <w:rPr>
          <w:b/>
          <w:bCs/>
        </w:rPr>
      </w:pPr>
    </w:p>
    <w:p w14:paraId="3C5488BC" w14:textId="05B29FC8" w:rsidR="00643D04" w:rsidRDefault="00BB6E9B" w:rsidP="00BB6E9B">
      <w:pPr>
        <w:pStyle w:val="ListParagraph"/>
        <w:numPr>
          <w:ilvl w:val="0"/>
          <w:numId w:val="7"/>
        </w:numPr>
      </w:pPr>
      <w:r w:rsidRPr="00BB6E9B">
        <w:rPr>
          <w:b/>
          <w:bCs/>
        </w:rPr>
        <w:lastRenderedPageBreak/>
        <w:t>Electronic Mail</w:t>
      </w:r>
      <w:r>
        <w:t xml:space="preserve">: </w:t>
      </w:r>
      <w:r w:rsidR="00153806">
        <w:t>Not all email needs to be retained, depending on the subject matter (see section 4 above).</w:t>
      </w:r>
    </w:p>
    <w:p w14:paraId="451C5547" w14:textId="77777777" w:rsidR="009F2508" w:rsidRDefault="00153806" w:rsidP="009F2508">
      <w:pPr>
        <w:pStyle w:val="ListParagraph"/>
        <w:numPr>
          <w:ilvl w:val="1"/>
          <w:numId w:val="5"/>
        </w:numPr>
      </w:pPr>
      <w:r>
        <w:t xml:space="preserve">All e-mail—from internal or external sources – not covered by Section 4 above is to be deleted after 12 months. </w:t>
      </w:r>
    </w:p>
    <w:p w14:paraId="1D1338D1" w14:textId="77777777" w:rsidR="009F2508" w:rsidRDefault="00153806" w:rsidP="009F2508">
      <w:pPr>
        <w:pStyle w:val="ListParagraph"/>
        <w:numPr>
          <w:ilvl w:val="1"/>
          <w:numId w:val="5"/>
        </w:numPr>
      </w:pPr>
      <w:r>
        <w:t xml:space="preserve"> Staff and volunteers will strive to keep all but an insignificant minority of their email related to business issues.</w:t>
      </w:r>
    </w:p>
    <w:p w14:paraId="01A2ADB4" w14:textId="77777777" w:rsidR="009F2508" w:rsidRDefault="00153806" w:rsidP="009F2508">
      <w:pPr>
        <w:pStyle w:val="ListParagraph"/>
        <w:numPr>
          <w:ilvl w:val="1"/>
          <w:numId w:val="5"/>
        </w:numPr>
      </w:pPr>
      <w:r>
        <w:t>W</w:t>
      </w:r>
      <w:r w:rsidR="009F2508">
        <w:t>V</w:t>
      </w:r>
      <w:r>
        <w:t xml:space="preserve">FB will archive e-mail for 90 days after it has been deleted, after which time the e-mail will be permanently deleted. </w:t>
      </w:r>
    </w:p>
    <w:p w14:paraId="4D220E6C" w14:textId="77777777" w:rsidR="00362D05" w:rsidRDefault="00153806" w:rsidP="009F2508">
      <w:pPr>
        <w:pStyle w:val="ListParagraph"/>
        <w:numPr>
          <w:ilvl w:val="1"/>
          <w:numId w:val="5"/>
        </w:numPr>
      </w:pPr>
      <w:r>
        <w:t>Staff will take care not to send confidential/proprietary information held by W</w:t>
      </w:r>
      <w:r w:rsidR="00362D05">
        <w:t>V</w:t>
      </w:r>
      <w:r>
        <w:t xml:space="preserve">FB to outside sources </w:t>
      </w:r>
    </w:p>
    <w:p w14:paraId="6CFEAB4D" w14:textId="77777777" w:rsidR="00362D05" w:rsidRDefault="00362D05" w:rsidP="00362D05">
      <w:pPr>
        <w:ind w:left="1080"/>
      </w:pPr>
    </w:p>
    <w:p w14:paraId="0AC13D81" w14:textId="5D0FEFC2" w:rsidR="00CA32CA" w:rsidRDefault="00153806" w:rsidP="006055D3">
      <w:pPr>
        <w:pStyle w:val="ListParagraph"/>
        <w:numPr>
          <w:ilvl w:val="0"/>
          <w:numId w:val="7"/>
        </w:numPr>
      </w:pPr>
      <w:r w:rsidRPr="006055D3">
        <w:rPr>
          <w:b/>
          <w:bCs/>
        </w:rPr>
        <w:t>Electronic Documents:</w:t>
      </w:r>
      <w:r>
        <w:t xml:space="preserve"> including Office 365 and PDF files, retention also depends on the subject matter, as covered by Section 4 above, otherwise they may be deleted after 2 years.</w:t>
      </w:r>
    </w:p>
    <w:p w14:paraId="28298CEC" w14:textId="5ADA2569" w:rsidR="006055D3" w:rsidRDefault="00645095" w:rsidP="006055D3">
      <w:r>
        <w:t>WVFB does not automatically delete electronic files beyond the dates specified in this Policy. It is the responsibility of all staff and volunteers to adhere to the guidelines specified in this policy. In certain cases, a document will be maintained in both paper and electronic form. In such cases the official document will be the electronic document.</w:t>
      </w:r>
    </w:p>
    <w:p w14:paraId="63EB109D" w14:textId="560F5999" w:rsidR="007E69E3" w:rsidRPr="008A2DDF" w:rsidRDefault="008A2DDF" w:rsidP="006055D3">
      <w:pPr>
        <w:rPr>
          <w:b/>
          <w:bCs/>
        </w:rPr>
      </w:pPr>
      <w:r w:rsidRPr="008A2DDF">
        <w:rPr>
          <w:b/>
          <w:bCs/>
        </w:rPr>
        <w:t>7. Insurance Records</w:t>
      </w:r>
    </w:p>
    <w:tbl>
      <w:tblPr>
        <w:tblStyle w:val="TableGrid"/>
        <w:tblW w:w="0" w:type="auto"/>
        <w:tblLook w:val="04A0" w:firstRow="1" w:lastRow="0" w:firstColumn="1" w:lastColumn="0" w:noHBand="0" w:noVBand="1"/>
      </w:tblPr>
      <w:tblGrid>
        <w:gridCol w:w="5575"/>
        <w:gridCol w:w="3775"/>
      </w:tblGrid>
      <w:tr w:rsidR="008A2DDF" w14:paraId="5D8B5A5E" w14:textId="77777777" w:rsidTr="001B5D2C">
        <w:tc>
          <w:tcPr>
            <w:tcW w:w="5575" w:type="dxa"/>
          </w:tcPr>
          <w:p w14:paraId="01DC1FF3" w14:textId="1C7070AF" w:rsidR="008A2DDF" w:rsidRPr="001B5D2C" w:rsidRDefault="001B5D2C" w:rsidP="006055D3">
            <w:pPr>
              <w:rPr>
                <w:b/>
                <w:bCs/>
              </w:rPr>
            </w:pPr>
            <w:r w:rsidRPr="001B5D2C">
              <w:rPr>
                <w:b/>
                <w:bCs/>
              </w:rPr>
              <w:t>Record Type</w:t>
            </w:r>
          </w:p>
        </w:tc>
        <w:tc>
          <w:tcPr>
            <w:tcW w:w="3775" w:type="dxa"/>
          </w:tcPr>
          <w:p w14:paraId="74C25031" w14:textId="1EBB5CE5" w:rsidR="008A2DDF" w:rsidRPr="001B5D2C" w:rsidRDefault="001B5D2C" w:rsidP="006055D3">
            <w:pPr>
              <w:rPr>
                <w:b/>
                <w:bCs/>
              </w:rPr>
            </w:pPr>
            <w:r w:rsidRPr="001B5D2C">
              <w:rPr>
                <w:b/>
                <w:bCs/>
              </w:rPr>
              <w:t>Retention Period</w:t>
            </w:r>
          </w:p>
        </w:tc>
      </w:tr>
      <w:tr w:rsidR="008A2DDF" w14:paraId="3E2A0326" w14:textId="77777777" w:rsidTr="001B5D2C">
        <w:tc>
          <w:tcPr>
            <w:tcW w:w="5575" w:type="dxa"/>
          </w:tcPr>
          <w:p w14:paraId="4616AE93" w14:textId="321EB238" w:rsidR="008A2DDF" w:rsidRDefault="008F709B" w:rsidP="006055D3">
            <w:r>
              <w:t>Certificates Issued to WVFB</w:t>
            </w:r>
          </w:p>
        </w:tc>
        <w:tc>
          <w:tcPr>
            <w:tcW w:w="3775" w:type="dxa"/>
          </w:tcPr>
          <w:p w14:paraId="6F3422DA" w14:textId="692FB833" w:rsidR="008A2DDF" w:rsidRDefault="008F709B" w:rsidP="006055D3">
            <w:r>
              <w:t>Permanent</w:t>
            </w:r>
          </w:p>
        </w:tc>
      </w:tr>
      <w:tr w:rsidR="008A2DDF" w14:paraId="279E0A67" w14:textId="77777777" w:rsidTr="001B5D2C">
        <w:tc>
          <w:tcPr>
            <w:tcW w:w="5575" w:type="dxa"/>
          </w:tcPr>
          <w:p w14:paraId="6CC7AFAE" w14:textId="64310E14" w:rsidR="008A2DDF" w:rsidRDefault="001B7A68" w:rsidP="006055D3">
            <w:r>
              <w:t>Claims Files (including correspondence, medical records, etc.)</w:t>
            </w:r>
          </w:p>
        </w:tc>
        <w:tc>
          <w:tcPr>
            <w:tcW w:w="3775" w:type="dxa"/>
          </w:tcPr>
          <w:p w14:paraId="43AB8F1C" w14:textId="600908E7" w:rsidR="008A2DDF" w:rsidRDefault="001B7A68" w:rsidP="006055D3">
            <w:r>
              <w:t>Permanent</w:t>
            </w:r>
          </w:p>
        </w:tc>
      </w:tr>
      <w:tr w:rsidR="008A2DDF" w14:paraId="54462D8E" w14:textId="77777777" w:rsidTr="001B5D2C">
        <w:tc>
          <w:tcPr>
            <w:tcW w:w="5575" w:type="dxa"/>
          </w:tcPr>
          <w:p w14:paraId="7501D41A" w14:textId="606A8E73" w:rsidR="008A2DDF" w:rsidRDefault="001B7A68" w:rsidP="006055D3">
            <w:r>
              <w:t>Insurance Policies (including expired policies)</w:t>
            </w:r>
          </w:p>
        </w:tc>
        <w:tc>
          <w:tcPr>
            <w:tcW w:w="3775" w:type="dxa"/>
          </w:tcPr>
          <w:p w14:paraId="6232DC9C" w14:textId="55A76FB8" w:rsidR="008A2DDF" w:rsidRDefault="001B7A68" w:rsidP="006055D3">
            <w:r>
              <w:t>Permanent</w:t>
            </w:r>
          </w:p>
        </w:tc>
      </w:tr>
    </w:tbl>
    <w:p w14:paraId="1673555F" w14:textId="77777777" w:rsidR="008A2DDF" w:rsidRDefault="008A2DDF" w:rsidP="006055D3"/>
    <w:p w14:paraId="4E4F38AA" w14:textId="555D8312" w:rsidR="007E69E3" w:rsidRPr="00314FE1" w:rsidRDefault="00166717" w:rsidP="006055D3">
      <w:pPr>
        <w:rPr>
          <w:b/>
          <w:bCs/>
        </w:rPr>
      </w:pPr>
      <w:r w:rsidRPr="00314FE1">
        <w:rPr>
          <w:b/>
          <w:bCs/>
        </w:rPr>
        <w:t>8. Legal Files and Papers</w:t>
      </w:r>
    </w:p>
    <w:tbl>
      <w:tblPr>
        <w:tblStyle w:val="TableGrid"/>
        <w:tblW w:w="0" w:type="auto"/>
        <w:tblLook w:val="04A0" w:firstRow="1" w:lastRow="0" w:firstColumn="1" w:lastColumn="0" w:noHBand="0" w:noVBand="1"/>
      </w:tblPr>
      <w:tblGrid>
        <w:gridCol w:w="5575"/>
        <w:gridCol w:w="3775"/>
      </w:tblGrid>
      <w:tr w:rsidR="00314FE1" w14:paraId="6355CC19" w14:textId="77777777" w:rsidTr="00314FE1">
        <w:tc>
          <w:tcPr>
            <w:tcW w:w="5575" w:type="dxa"/>
          </w:tcPr>
          <w:p w14:paraId="2F1996A8" w14:textId="47EF5545" w:rsidR="00314FE1" w:rsidRDefault="00314FE1" w:rsidP="006055D3">
            <w:r w:rsidRPr="001B5D2C">
              <w:rPr>
                <w:b/>
                <w:bCs/>
              </w:rPr>
              <w:t>Record Type</w:t>
            </w:r>
          </w:p>
        </w:tc>
        <w:tc>
          <w:tcPr>
            <w:tcW w:w="3775" w:type="dxa"/>
          </w:tcPr>
          <w:p w14:paraId="03B574FD" w14:textId="6D624229" w:rsidR="00314FE1" w:rsidRDefault="00314FE1" w:rsidP="006055D3">
            <w:r w:rsidRPr="001B5D2C">
              <w:rPr>
                <w:b/>
                <w:bCs/>
              </w:rPr>
              <w:t>Retention Period</w:t>
            </w:r>
          </w:p>
        </w:tc>
      </w:tr>
      <w:tr w:rsidR="00314FE1" w14:paraId="26292788" w14:textId="77777777" w:rsidTr="00314FE1">
        <w:tc>
          <w:tcPr>
            <w:tcW w:w="5575" w:type="dxa"/>
          </w:tcPr>
          <w:p w14:paraId="6D83D224" w14:textId="2FD8AA0F" w:rsidR="00314FE1" w:rsidRDefault="003863A1" w:rsidP="006055D3">
            <w:r>
              <w:t>Legal Memoranda and Opinions (including all subject matter files):</w:t>
            </w:r>
          </w:p>
        </w:tc>
        <w:tc>
          <w:tcPr>
            <w:tcW w:w="3775" w:type="dxa"/>
          </w:tcPr>
          <w:p w14:paraId="7521A0F7" w14:textId="568E3F79" w:rsidR="00314FE1" w:rsidRDefault="003863A1" w:rsidP="006055D3">
            <w:r>
              <w:t>7 years after close of matter</w:t>
            </w:r>
          </w:p>
        </w:tc>
      </w:tr>
      <w:tr w:rsidR="00314FE1" w14:paraId="17A01AE5" w14:textId="77777777" w:rsidTr="00314FE1">
        <w:tc>
          <w:tcPr>
            <w:tcW w:w="5575" w:type="dxa"/>
          </w:tcPr>
          <w:p w14:paraId="13DE535E" w14:textId="0445A382" w:rsidR="00314FE1" w:rsidRDefault="00CF0768" w:rsidP="006055D3">
            <w:r>
              <w:t>Litigation Files</w:t>
            </w:r>
          </w:p>
        </w:tc>
        <w:tc>
          <w:tcPr>
            <w:tcW w:w="3775" w:type="dxa"/>
          </w:tcPr>
          <w:p w14:paraId="5330F126" w14:textId="433DFE87" w:rsidR="00314FE1" w:rsidRDefault="00CF0768" w:rsidP="006055D3">
            <w:r>
              <w:t>1 year after expiration of appeals or time for filing appeals</w:t>
            </w:r>
          </w:p>
        </w:tc>
      </w:tr>
      <w:tr w:rsidR="00314FE1" w14:paraId="4E7F04FB" w14:textId="77777777" w:rsidTr="00314FE1">
        <w:tc>
          <w:tcPr>
            <w:tcW w:w="5575" w:type="dxa"/>
          </w:tcPr>
          <w:p w14:paraId="74347FBB" w14:textId="6820C3CE" w:rsidR="00314FE1" w:rsidRDefault="00CF0768" w:rsidP="006055D3">
            <w:r>
              <w:t>Court Orders</w:t>
            </w:r>
          </w:p>
        </w:tc>
        <w:tc>
          <w:tcPr>
            <w:tcW w:w="3775" w:type="dxa"/>
          </w:tcPr>
          <w:p w14:paraId="1D152026" w14:textId="33A25F39" w:rsidR="00314FE1" w:rsidRDefault="005E6355" w:rsidP="006055D3">
            <w:r>
              <w:t>Permanent</w:t>
            </w:r>
          </w:p>
        </w:tc>
      </w:tr>
    </w:tbl>
    <w:p w14:paraId="273F620A" w14:textId="77777777" w:rsidR="00314FE1" w:rsidRDefault="00314FE1" w:rsidP="006055D3"/>
    <w:p w14:paraId="577ED0DA" w14:textId="2A5ECF30" w:rsidR="005E6355" w:rsidRDefault="005E6355" w:rsidP="006055D3">
      <w:r>
        <w:t>9. Miscellaneous</w:t>
      </w:r>
    </w:p>
    <w:tbl>
      <w:tblPr>
        <w:tblStyle w:val="TableGrid"/>
        <w:tblW w:w="0" w:type="auto"/>
        <w:tblLook w:val="04A0" w:firstRow="1" w:lastRow="0" w:firstColumn="1" w:lastColumn="0" w:noHBand="0" w:noVBand="1"/>
      </w:tblPr>
      <w:tblGrid>
        <w:gridCol w:w="5485"/>
        <w:gridCol w:w="3865"/>
      </w:tblGrid>
      <w:tr w:rsidR="00D63E4C" w14:paraId="6ACE16C1" w14:textId="77777777" w:rsidTr="00D63E4C">
        <w:tc>
          <w:tcPr>
            <w:tcW w:w="5485" w:type="dxa"/>
          </w:tcPr>
          <w:p w14:paraId="7E841D18" w14:textId="2F982BBA" w:rsidR="00D63E4C" w:rsidRDefault="00D63E4C" w:rsidP="00D63E4C">
            <w:r w:rsidRPr="001B5D2C">
              <w:rPr>
                <w:b/>
                <w:bCs/>
              </w:rPr>
              <w:t>Record Type</w:t>
            </w:r>
          </w:p>
        </w:tc>
        <w:tc>
          <w:tcPr>
            <w:tcW w:w="3865" w:type="dxa"/>
          </w:tcPr>
          <w:p w14:paraId="2D5D2E83" w14:textId="6C2B7367" w:rsidR="00D63E4C" w:rsidRDefault="00D63E4C" w:rsidP="00D63E4C">
            <w:r w:rsidRPr="001B5D2C">
              <w:rPr>
                <w:b/>
                <w:bCs/>
              </w:rPr>
              <w:t>Retention Period</w:t>
            </w:r>
          </w:p>
        </w:tc>
      </w:tr>
      <w:tr w:rsidR="00D63E4C" w14:paraId="52625A61" w14:textId="77777777" w:rsidTr="00D63E4C">
        <w:tc>
          <w:tcPr>
            <w:tcW w:w="5485" w:type="dxa"/>
          </w:tcPr>
          <w:p w14:paraId="7F4BC8AB" w14:textId="4BEE5713" w:rsidR="00D63E4C" w:rsidRDefault="00CF63F9" w:rsidP="00D63E4C">
            <w:r>
              <w:t>Food Donor Groups</w:t>
            </w:r>
          </w:p>
        </w:tc>
        <w:tc>
          <w:tcPr>
            <w:tcW w:w="3865" w:type="dxa"/>
          </w:tcPr>
          <w:p w14:paraId="195E5151" w14:textId="49DFD4EE" w:rsidR="00D63E4C" w:rsidRDefault="00CD4DBC" w:rsidP="00D63E4C">
            <w:r>
              <w:t xml:space="preserve">If a Food Donor Organisation tells us they have stopped being a donor group, WEFB will delete the organisation’s data from the on-line system’s record Page 8 of 8 of active donor groups. The data system will still record donation </w:t>
            </w:r>
            <w:r>
              <w:lastRenderedPageBreak/>
              <w:t>amounts and dates, but any contact</w:t>
            </w:r>
            <w:r w:rsidR="00C059F1">
              <w:t xml:space="preserve"> details will not be kept.</w:t>
            </w:r>
          </w:p>
        </w:tc>
      </w:tr>
      <w:tr w:rsidR="00D63E4C" w14:paraId="5FF803F1" w14:textId="77777777" w:rsidTr="00D63E4C">
        <w:tc>
          <w:tcPr>
            <w:tcW w:w="5485" w:type="dxa"/>
          </w:tcPr>
          <w:p w14:paraId="22321FCB" w14:textId="0CD77333" w:rsidR="00D63E4C" w:rsidRDefault="00C059F1" w:rsidP="00D63E4C">
            <w:r>
              <w:lastRenderedPageBreak/>
              <w:t>Policy and Procedures Manuals</w:t>
            </w:r>
          </w:p>
        </w:tc>
        <w:tc>
          <w:tcPr>
            <w:tcW w:w="3865" w:type="dxa"/>
          </w:tcPr>
          <w:p w14:paraId="77FA7F71" w14:textId="32503CF9" w:rsidR="00D63E4C" w:rsidRDefault="005978D7" w:rsidP="00D63E4C">
            <w:r>
              <w:t>Permanent</w:t>
            </w:r>
          </w:p>
        </w:tc>
      </w:tr>
      <w:tr w:rsidR="00D63E4C" w14:paraId="25EB8825" w14:textId="77777777" w:rsidTr="00D63E4C">
        <w:tc>
          <w:tcPr>
            <w:tcW w:w="5485" w:type="dxa"/>
          </w:tcPr>
          <w:p w14:paraId="48BC11FC" w14:textId="07B459E1" w:rsidR="00D63E4C" w:rsidRDefault="00FE3383" w:rsidP="00D63E4C">
            <w:r>
              <w:t>Annual Reports</w:t>
            </w:r>
          </w:p>
        </w:tc>
        <w:tc>
          <w:tcPr>
            <w:tcW w:w="3865" w:type="dxa"/>
          </w:tcPr>
          <w:p w14:paraId="720ADDCA" w14:textId="7418CD94" w:rsidR="00D63E4C" w:rsidRDefault="005978D7" w:rsidP="00D63E4C">
            <w:r>
              <w:t>Permanent</w:t>
            </w:r>
          </w:p>
        </w:tc>
      </w:tr>
      <w:tr w:rsidR="00D63E4C" w14:paraId="7B71ACFB" w14:textId="77777777" w:rsidTr="00D63E4C">
        <w:tc>
          <w:tcPr>
            <w:tcW w:w="5485" w:type="dxa"/>
          </w:tcPr>
          <w:p w14:paraId="57D2AD5C" w14:textId="40E50675" w:rsidR="00D63E4C" w:rsidRDefault="00FE3383" w:rsidP="00D63E4C">
            <w:r>
              <w:t>Risk Assessments</w:t>
            </w:r>
          </w:p>
        </w:tc>
        <w:tc>
          <w:tcPr>
            <w:tcW w:w="3865" w:type="dxa"/>
          </w:tcPr>
          <w:p w14:paraId="48518BEC" w14:textId="6B131DEE" w:rsidR="00D63E4C" w:rsidRDefault="005978D7" w:rsidP="00D63E4C">
            <w:r>
              <w:t>3 years</w:t>
            </w:r>
          </w:p>
        </w:tc>
      </w:tr>
      <w:tr w:rsidR="00D63E4C" w14:paraId="4F0F4A42" w14:textId="77777777" w:rsidTr="00D63E4C">
        <w:tc>
          <w:tcPr>
            <w:tcW w:w="5485" w:type="dxa"/>
          </w:tcPr>
          <w:p w14:paraId="530607A1" w14:textId="3159EAD6" w:rsidR="00D63E4C" w:rsidRDefault="005978D7" w:rsidP="00D63E4C">
            <w:r>
              <w:t>Warehouse Records</w:t>
            </w:r>
          </w:p>
        </w:tc>
        <w:tc>
          <w:tcPr>
            <w:tcW w:w="3865" w:type="dxa"/>
          </w:tcPr>
          <w:p w14:paraId="295F7B70" w14:textId="00E2E663" w:rsidR="00D63E4C" w:rsidRDefault="005978D7" w:rsidP="00D63E4C">
            <w:r>
              <w:t>7 years</w:t>
            </w:r>
          </w:p>
        </w:tc>
      </w:tr>
    </w:tbl>
    <w:p w14:paraId="1DBB2D2F" w14:textId="77777777" w:rsidR="005E6355" w:rsidRDefault="005E6355" w:rsidP="006055D3"/>
    <w:p w14:paraId="57F50793" w14:textId="07CCCF67" w:rsidR="005978D7" w:rsidRDefault="005978D7" w:rsidP="006055D3">
      <w:pPr>
        <w:rPr>
          <w:b/>
          <w:bCs/>
        </w:rPr>
      </w:pPr>
      <w:r w:rsidRPr="00150EF7">
        <w:rPr>
          <w:b/>
          <w:bCs/>
        </w:rPr>
        <w:t>10. Tax Records</w:t>
      </w:r>
    </w:p>
    <w:p w14:paraId="685B4502" w14:textId="674CF92A" w:rsidR="00150EF7" w:rsidRDefault="00150EF7" w:rsidP="006055D3">
      <w:r w:rsidRPr="00150EF7">
        <w:rPr>
          <w:b/>
          <w:bCs/>
        </w:rPr>
        <w:t>General Principle:</w:t>
      </w:r>
      <w:r>
        <w:t xml:space="preserve"> WVFB must keep books of account or records as are sufficient to establish amount of gross income, deductions, credits, or other matters required to be shown in any such return. These documents and records shall be kept for as long as the contents thereof may become material in the administration of state, and local income, franchise, and property tax laws.</w:t>
      </w:r>
    </w:p>
    <w:tbl>
      <w:tblPr>
        <w:tblStyle w:val="TableGrid"/>
        <w:tblW w:w="0" w:type="auto"/>
        <w:tblLook w:val="04A0" w:firstRow="1" w:lastRow="0" w:firstColumn="1" w:lastColumn="0" w:noHBand="0" w:noVBand="1"/>
      </w:tblPr>
      <w:tblGrid>
        <w:gridCol w:w="5485"/>
        <w:gridCol w:w="3865"/>
      </w:tblGrid>
      <w:tr w:rsidR="00F2425E" w14:paraId="65172D6F" w14:textId="77777777" w:rsidTr="0041706C">
        <w:tc>
          <w:tcPr>
            <w:tcW w:w="5485" w:type="dxa"/>
          </w:tcPr>
          <w:p w14:paraId="3BCD97B9" w14:textId="1855749E" w:rsidR="00F2425E" w:rsidRDefault="0041706C" w:rsidP="006055D3">
            <w:pPr>
              <w:rPr>
                <w:b/>
                <w:bCs/>
              </w:rPr>
            </w:pPr>
            <w:r>
              <w:rPr>
                <w:b/>
                <w:bCs/>
              </w:rPr>
              <w:t>Record Type</w:t>
            </w:r>
          </w:p>
        </w:tc>
        <w:tc>
          <w:tcPr>
            <w:tcW w:w="3865" w:type="dxa"/>
          </w:tcPr>
          <w:p w14:paraId="594271DE" w14:textId="14E34D27" w:rsidR="00F2425E" w:rsidRDefault="0041706C" w:rsidP="006055D3">
            <w:pPr>
              <w:rPr>
                <w:b/>
                <w:bCs/>
              </w:rPr>
            </w:pPr>
            <w:r>
              <w:rPr>
                <w:b/>
                <w:bCs/>
              </w:rPr>
              <w:t>Retention Period</w:t>
            </w:r>
          </w:p>
        </w:tc>
      </w:tr>
      <w:tr w:rsidR="00F2425E" w14:paraId="7361E250" w14:textId="77777777" w:rsidTr="0041706C">
        <w:tc>
          <w:tcPr>
            <w:tcW w:w="5485" w:type="dxa"/>
          </w:tcPr>
          <w:p w14:paraId="4536E8B8" w14:textId="6052A8A0" w:rsidR="00F2425E" w:rsidRDefault="008E2468" w:rsidP="006055D3">
            <w:pPr>
              <w:rPr>
                <w:b/>
                <w:bCs/>
              </w:rPr>
            </w:pPr>
            <w:r>
              <w:t>Tax-Exemption Documents and Related Correspondence</w:t>
            </w:r>
          </w:p>
        </w:tc>
        <w:tc>
          <w:tcPr>
            <w:tcW w:w="3865" w:type="dxa"/>
          </w:tcPr>
          <w:p w14:paraId="668ABC2C" w14:textId="5AC785A5" w:rsidR="00F2425E" w:rsidRPr="0073005B" w:rsidRDefault="0073005B" w:rsidP="006055D3">
            <w:r w:rsidRPr="0073005B">
              <w:t>Permanent</w:t>
            </w:r>
          </w:p>
        </w:tc>
      </w:tr>
      <w:tr w:rsidR="00F2425E" w14:paraId="127B3B58" w14:textId="77777777" w:rsidTr="0041706C">
        <w:tc>
          <w:tcPr>
            <w:tcW w:w="5485" w:type="dxa"/>
          </w:tcPr>
          <w:p w14:paraId="0D33FA59" w14:textId="05315D0B" w:rsidR="00F2425E" w:rsidRDefault="008E2468" w:rsidP="006055D3">
            <w:pPr>
              <w:rPr>
                <w:b/>
                <w:bCs/>
              </w:rPr>
            </w:pPr>
            <w:r>
              <w:t>Tax Bills, Receipts, Statements</w:t>
            </w:r>
          </w:p>
        </w:tc>
        <w:tc>
          <w:tcPr>
            <w:tcW w:w="3865" w:type="dxa"/>
          </w:tcPr>
          <w:p w14:paraId="1E17CF5F" w14:textId="4D06379B" w:rsidR="00F2425E" w:rsidRPr="0073005B" w:rsidRDefault="00371531" w:rsidP="006055D3">
            <w:r>
              <w:t>7 years</w:t>
            </w:r>
          </w:p>
        </w:tc>
      </w:tr>
      <w:tr w:rsidR="00F2425E" w14:paraId="48536471" w14:textId="77777777" w:rsidTr="0041706C">
        <w:tc>
          <w:tcPr>
            <w:tcW w:w="5485" w:type="dxa"/>
          </w:tcPr>
          <w:p w14:paraId="1CA04B8E" w14:textId="66573603" w:rsidR="00F2425E" w:rsidRDefault="008E2468" w:rsidP="006055D3">
            <w:pPr>
              <w:rPr>
                <w:b/>
                <w:bCs/>
              </w:rPr>
            </w:pPr>
            <w:r>
              <w:t>Tax Returns</w:t>
            </w:r>
          </w:p>
        </w:tc>
        <w:tc>
          <w:tcPr>
            <w:tcW w:w="3865" w:type="dxa"/>
          </w:tcPr>
          <w:p w14:paraId="4C7F3CFC" w14:textId="6E342444" w:rsidR="00F2425E" w:rsidRPr="00371531" w:rsidRDefault="00371531" w:rsidP="006055D3">
            <w:r>
              <w:t>Permanent</w:t>
            </w:r>
          </w:p>
        </w:tc>
      </w:tr>
      <w:tr w:rsidR="00F2425E" w14:paraId="110FF528" w14:textId="77777777" w:rsidTr="0041706C">
        <w:tc>
          <w:tcPr>
            <w:tcW w:w="5485" w:type="dxa"/>
          </w:tcPr>
          <w:p w14:paraId="4241152C" w14:textId="5BE0A2F9" w:rsidR="00F2425E" w:rsidRDefault="0073005B" w:rsidP="006055D3">
            <w:pPr>
              <w:rPr>
                <w:b/>
                <w:bCs/>
              </w:rPr>
            </w:pPr>
            <w:r>
              <w:t>Sales/Use Tax Records</w:t>
            </w:r>
          </w:p>
        </w:tc>
        <w:tc>
          <w:tcPr>
            <w:tcW w:w="3865" w:type="dxa"/>
          </w:tcPr>
          <w:p w14:paraId="55D615D2" w14:textId="2B03F615" w:rsidR="00F2425E" w:rsidRPr="00371531" w:rsidRDefault="00371531" w:rsidP="006055D3">
            <w:r>
              <w:t>7 years</w:t>
            </w:r>
          </w:p>
        </w:tc>
      </w:tr>
      <w:tr w:rsidR="00F2425E" w14:paraId="6AAE38B8" w14:textId="77777777" w:rsidTr="0041706C">
        <w:tc>
          <w:tcPr>
            <w:tcW w:w="5485" w:type="dxa"/>
          </w:tcPr>
          <w:p w14:paraId="2C3CA72B" w14:textId="7E872BDA" w:rsidR="00F2425E" w:rsidRDefault="0073005B" w:rsidP="006055D3">
            <w:pPr>
              <w:rPr>
                <w:b/>
                <w:bCs/>
              </w:rPr>
            </w:pPr>
            <w:r>
              <w:t>Annual Information Returns</w:t>
            </w:r>
          </w:p>
        </w:tc>
        <w:tc>
          <w:tcPr>
            <w:tcW w:w="3865" w:type="dxa"/>
          </w:tcPr>
          <w:p w14:paraId="2DE5F9D5" w14:textId="2DA9ACB8" w:rsidR="00F2425E" w:rsidRPr="00371531" w:rsidRDefault="00371531" w:rsidP="006055D3">
            <w:r>
              <w:t>Permanent</w:t>
            </w:r>
          </w:p>
        </w:tc>
      </w:tr>
    </w:tbl>
    <w:p w14:paraId="00BBAC41" w14:textId="77777777" w:rsidR="00150EF7" w:rsidRPr="00150EF7" w:rsidRDefault="00150EF7" w:rsidP="006055D3">
      <w:pPr>
        <w:rPr>
          <w:b/>
          <w:bCs/>
        </w:rPr>
      </w:pPr>
    </w:p>
    <w:p w14:paraId="2C09371E" w14:textId="77777777" w:rsidR="00150EF7" w:rsidRDefault="00150EF7" w:rsidP="006055D3"/>
    <w:sectPr w:rsidR="00150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7C5A"/>
    <w:multiLevelType w:val="hybridMultilevel"/>
    <w:tmpl w:val="671AB3A0"/>
    <w:lvl w:ilvl="0" w:tplc="A8EA9DCA">
      <w:start w:val="5"/>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574090"/>
    <w:multiLevelType w:val="hybridMultilevel"/>
    <w:tmpl w:val="02305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1905A2"/>
    <w:multiLevelType w:val="hybridMultilevel"/>
    <w:tmpl w:val="893A0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8095694"/>
    <w:multiLevelType w:val="hybridMultilevel"/>
    <w:tmpl w:val="7ABE3794"/>
    <w:lvl w:ilvl="0" w:tplc="26FAB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573AB"/>
    <w:multiLevelType w:val="hybridMultilevel"/>
    <w:tmpl w:val="500EBE8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69D7399D"/>
    <w:multiLevelType w:val="hybridMultilevel"/>
    <w:tmpl w:val="F2925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D9B297E"/>
    <w:multiLevelType w:val="hybridMultilevel"/>
    <w:tmpl w:val="7B669C56"/>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7"/>
    <w:rsid w:val="00015DD6"/>
    <w:rsid w:val="000344B8"/>
    <w:rsid w:val="00040499"/>
    <w:rsid w:val="00066E3E"/>
    <w:rsid w:val="000A416D"/>
    <w:rsid w:val="000D0EE0"/>
    <w:rsid w:val="000D2B3C"/>
    <w:rsid w:val="00117465"/>
    <w:rsid w:val="001414C0"/>
    <w:rsid w:val="0014338B"/>
    <w:rsid w:val="00150EF7"/>
    <w:rsid w:val="00153806"/>
    <w:rsid w:val="00157912"/>
    <w:rsid w:val="00166717"/>
    <w:rsid w:val="0019156C"/>
    <w:rsid w:val="00194628"/>
    <w:rsid w:val="001B5D2C"/>
    <w:rsid w:val="001B7A68"/>
    <w:rsid w:val="001C0512"/>
    <w:rsid w:val="001C5B1C"/>
    <w:rsid w:val="001F257E"/>
    <w:rsid w:val="002101C7"/>
    <w:rsid w:val="002123FA"/>
    <w:rsid w:val="002219A7"/>
    <w:rsid w:val="0026688C"/>
    <w:rsid w:val="00270145"/>
    <w:rsid w:val="00272C5E"/>
    <w:rsid w:val="00275830"/>
    <w:rsid w:val="00284B19"/>
    <w:rsid w:val="002C4B68"/>
    <w:rsid w:val="002E1DAA"/>
    <w:rsid w:val="00311F95"/>
    <w:rsid w:val="00314FE1"/>
    <w:rsid w:val="003335CE"/>
    <w:rsid w:val="00362D05"/>
    <w:rsid w:val="00370B42"/>
    <w:rsid w:val="00371531"/>
    <w:rsid w:val="00380CB9"/>
    <w:rsid w:val="003863A1"/>
    <w:rsid w:val="00393B2E"/>
    <w:rsid w:val="003B7E1B"/>
    <w:rsid w:val="003E0D65"/>
    <w:rsid w:val="003E7DF2"/>
    <w:rsid w:val="0041706C"/>
    <w:rsid w:val="004209CF"/>
    <w:rsid w:val="00433F5E"/>
    <w:rsid w:val="00441413"/>
    <w:rsid w:val="00460365"/>
    <w:rsid w:val="00467ACB"/>
    <w:rsid w:val="004B2E49"/>
    <w:rsid w:val="004E7955"/>
    <w:rsid w:val="00504BCB"/>
    <w:rsid w:val="0051502C"/>
    <w:rsid w:val="005169F6"/>
    <w:rsid w:val="00523202"/>
    <w:rsid w:val="00530094"/>
    <w:rsid w:val="00550F3F"/>
    <w:rsid w:val="00556EE5"/>
    <w:rsid w:val="00595767"/>
    <w:rsid w:val="00597058"/>
    <w:rsid w:val="005978D7"/>
    <w:rsid w:val="005A5CF3"/>
    <w:rsid w:val="005B3ADA"/>
    <w:rsid w:val="005E6355"/>
    <w:rsid w:val="005E797B"/>
    <w:rsid w:val="005E7F46"/>
    <w:rsid w:val="005F3E96"/>
    <w:rsid w:val="005F66E0"/>
    <w:rsid w:val="006055D3"/>
    <w:rsid w:val="00625B36"/>
    <w:rsid w:val="006316FE"/>
    <w:rsid w:val="00643D04"/>
    <w:rsid w:val="00645095"/>
    <w:rsid w:val="00666ABD"/>
    <w:rsid w:val="006A557B"/>
    <w:rsid w:val="006E2FEF"/>
    <w:rsid w:val="00700F46"/>
    <w:rsid w:val="00705651"/>
    <w:rsid w:val="0073005B"/>
    <w:rsid w:val="00733F4D"/>
    <w:rsid w:val="0075084C"/>
    <w:rsid w:val="00757097"/>
    <w:rsid w:val="00762966"/>
    <w:rsid w:val="00783A0D"/>
    <w:rsid w:val="00790AA2"/>
    <w:rsid w:val="00794098"/>
    <w:rsid w:val="00795228"/>
    <w:rsid w:val="007A0CAA"/>
    <w:rsid w:val="007A0E0C"/>
    <w:rsid w:val="007C4B36"/>
    <w:rsid w:val="007E0999"/>
    <w:rsid w:val="007E69E3"/>
    <w:rsid w:val="007F7C6A"/>
    <w:rsid w:val="00806949"/>
    <w:rsid w:val="00806C6C"/>
    <w:rsid w:val="008103E3"/>
    <w:rsid w:val="00813B6D"/>
    <w:rsid w:val="00816578"/>
    <w:rsid w:val="00824376"/>
    <w:rsid w:val="00826422"/>
    <w:rsid w:val="00834107"/>
    <w:rsid w:val="00842B6D"/>
    <w:rsid w:val="00855D90"/>
    <w:rsid w:val="00892F1C"/>
    <w:rsid w:val="008A2DDF"/>
    <w:rsid w:val="008A6E9A"/>
    <w:rsid w:val="008E2468"/>
    <w:rsid w:val="008F5AB8"/>
    <w:rsid w:val="008F709B"/>
    <w:rsid w:val="0090088B"/>
    <w:rsid w:val="00916291"/>
    <w:rsid w:val="009209EA"/>
    <w:rsid w:val="00946BA2"/>
    <w:rsid w:val="009900BB"/>
    <w:rsid w:val="009A5326"/>
    <w:rsid w:val="009B5D9F"/>
    <w:rsid w:val="009D4B36"/>
    <w:rsid w:val="009F2508"/>
    <w:rsid w:val="00A01F4F"/>
    <w:rsid w:val="00A20F46"/>
    <w:rsid w:val="00A30F38"/>
    <w:rsid w:val="00A47D15"/>
    <w:rsid w:val="00A50BB2"/>
    <w:rsid w:val="00AA30F6"/>
    <w:rsid w:val="00AC1F44"/>
    <w:rsid w:val="00AC562E"/>
    <w:rsid w:val="00B24D7A"/>
    <w:rsid w:val="00B300B4"/>
    <w:rsid w:val="00B33CD7"/>
    <w:rsid w:val="00B3612E"/>
    <w:rsid w:val="00B51FA6"/>
    <w:rsid w:val="00B540C1"/>
    <w:rsid w:val="00B74239"/>
    <w:rsid w:val="00B82EE7"/>
    <w:rsid w:val="00BA5CFD"/>
    <w:rsid w:val="00BB6E9B"/>
    <w:rsid w:val="00BC7AF7"/>
    <w:rsid w:val="00BE3C9A"/>
    <w:rsid w:val="00BE75EF"/>
    <w:rsid w:val="00BF53BC"/>
    <w:rsid w:val="00BF79F2"/>
    <w:rsid w:val="00C059F1"/>
    <w:rsid w:val="00C11611"/>
    <w:rsid w:val="00C21464"/>
    <w:rsid w:val="00C30868"/>
    <w:rsid w:val="00C44741"/>
    <w:rsid w:val="00C646CE"/>
    <w:rsid w:val="00C65769"/>
    <w:rsid w:val="00C7054D"/>
    <w:rsid w:val="00C775C2"/>
    <w:rsid w:val="00C814D2"/>
    <w:rsid w:val="00CA32CA"/>
    <w:rsid w:val="00CB1813"/>
    <w:rsid w:val="00CB2646"/>
    <w:rsid w:val="00CB62D2"/>
    <w:rsid w:val="00CD4DBC"/>
    <w:rsid w:val="00CF0768"/>
    <w:rsid w:val="00CF273A"/>
    <w:rsid w:val="00CF63F9"/>
    <w:rsid w:val="00D15DA7"/>
    <w:rsid w:val="00D22248"/>
    <w:rsid w:val="00D2476D"/>
    <w:rsid w:val="00D312BE"/>
    <w:rsid w:val="00D404E0"/>
    <w:rsid w:val="00D4585A"/>
    <w:rsid w:val="00D55DF0"/>
    <w:rsid w:val="00D63E4C"/>
    <w:rsid w:val="00D65D08"/>
    <w:rsid w:val="00D730BD"/>
    <w:rsid w:val="00D7430F"/>
    <w:rsid w:val="00DA4585"/>
    <w:rsid w:val="00DC669A"/>
    <w:rsid w:val="00DE3194"/>
    <w:rsid w:val="00E0535B"/>
    <w:rsid w:val="00E36D89"/>
    <w:rsid w:val="00E410A5"/>
    <w:rsid w:val="00E53F42"/>
    <w:rsid w:val="00E65FE2"/>
    <w:rsid w:val="00EC6BDC"/>
    <w:rsid w:val="00F2425E"/>
    <w:rsid w:val="00F24BFD"/>
    <w:rsid w:val="00F35B0B"/>
    <w:rsid w:val="00F61007"/>
    <w:rsid w:val="00F83563"/>
    <w:rsid w:val="00FB5AF4"/>
    <w:rsid w:val="00FC1ADA"/>
    <w:rsid w:val="00FE0FA1"/>
    <w:rsid w:val="00FE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63FDD"/>
  <w15:chartTrackingRefBased/>
  <w15:docId w15:val="{D0ED3D00-588B-4C27-A4F6-D6E77A58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E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ansbeckvalleyfoodbank.org/wp-content/uploads/2014/06/WVFB_Logo_L.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2298</Words>
  <Characters>13099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Rowley</dc:creator>
  <cp:keywords/>
  <dc:description/>
  <cp:lastModifiedBy>John Rowley</cp:lastModifiedBy>
  <cp:revision>2</cp:revision>
  <dcterms:created xsi:type="dcterms:W3CDTF">2021-11-21T17:59:00Z</dcterms:created>
  <dcterms:modified xsi:type="dcterms:W3CDTF">2021-11-21T17:59:00Z</dcterms:modified>
</cp:coreProperties>
</file>